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001-42442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YOUXIN TECHNOLOGY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1005, 1006, 1007, No. 122 Huangpu Avenue West,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Tianhe District, Guangzhou, Guangdong Province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 13631357745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2026, Youxin Technology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 Sales Agreement (the “</w:t>
      </w:r>
      <w:r>
        <w:rPr>
          <w:rFonts w:ascii="Times New Roman;Times;Serif" w:hAnsi="Times New Roman;Times;Serif"/>
          <w:b w:val="false"/>
          <w:i w:val="false"/>
          <w:caps w:val="false"/>
          <w:smallCaps w:val="false"/>
          <w:sz w:val="20"/>
          <w:u w:val="single"/>
        </w:rPr>
        <w:t>Sales Agreement</w:t>
      </w:r>
      <w:r>
        <w:rPr>
          <w:rFonts w:ascii="Times New Roman;Times;Serif" w:hAnsi="Times New Roman;Times;Serif"/>
          <w:b w:val="false"/>
          <w:i w:val="false"/>
          <w:caps w:val="false"/>
          <w:smallCaps w:val="false"/>
          <w:sz w:val="20"/>
        </w:rPr>
        <w:t>”) with Aegis Capital Corp. (the “</w:t>
      </w:r>
      <w:r>
        <w:rPr>
          <w:rFonts w:ascii="Times New Roman;Times;Serif" w:hAnsi="Times New Roman;Times;Serif"/>
          <w:b w:val="false"/>
          <w:i w:val="false"/>
          <w:caps w:val="false"/>
          <w:smallCaps w:val="false"/>
          <w:sz w:val="20"/>
          <w:u w:val="single"/>
        </w:rPr>
        <w:t>Sales Agent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Aegis</w:t>
      </w:r>
      <w:r>
        <w:rPr>
          <w:rFonts w:ascii="Times New Roman;Times;Serif" w:hAnsi="Times New Roman;Times;Serif"/>
          <w:b w:val="false"/>
          <w:i w:val="false"/>
          <w:caps w:val="false"/>
          <w:smallCaps w:val="false"/>
          <w:sz w:val="20"/>
        </w:rPr>
        <w:t>”), pursuant to which the Company may, from time to time, issue and sell its Class A ordinary shares, par value $0.008 per share (the “</w:t>
      </w:r>
      <w:r>
        <w:rPr>
          <w:rFonts w:ascii="Times New Roman;Times;Serif" w:hAnsi="Times New Roman;Times;Serif"/>
          <w:b w:val="false"/>
          <w:i w:val="false"/>
          <w:caps w:val="false"/>
          <w:smallCaps w:val="false"/>
          <w:sz w:val="20"/>
          <w:u w:val="single"/>
        </w:rPr>
        <w:t>Class A Shares</w:t>
      </w:r>
      <w:r>
        <w:rPr>
          <w:rFonts w:ascii="Times New Roman;Times;Serif" w:hAnsi="Times New Roman;Times;Serif"/>
          <w:b w:val="false"/>
          <w:i w:val="false"/>
          <w:caps w:val="false"/>
          <w:smallCaps w:val="false"/>
          <w:sz w:val="20"/>
        </w:rPr>
        <w:t>”), having an aggregate gross sales price of up to the Company’s maximum offering amount permitted under its then current shelf registration capacity using Form F-3 (File No. 333-295763), through the Sales Agent. Due to the offering limitations applicable to the Company under General Instruction I.B.5. of Form F-3 and the Company’s public float calculated in accordance therewith as of the date of this current report on Form 6-K, and in accordance with the terms of the Sales agreement, the Company is offering shares of its Class A Ordinary Shares having an aggregate gross sales price of up to $6,355,771 pursuant to a prospectus supplement and the accompanying prospectus filed with the Securities and Exchange Commission on June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Class A Shares under the Sales Agreement, if any, will be made pursuant to the Company’s shelf registration statement on Form F-3 (File No. 333-295763), filed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May 11, 2026 and declared effective on May 21, 2026, as supplemented by a prospectus supplement filed with the SEC pursuant to Rule 424(b)(5) on June 26, 2026. The Company is not obligated to sell any Class A Shares under the Sales Agreement and may suspend or terminate sales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Sales Agreement, the Class A Shares may be sold by any method deemed to be an “at-the-market offering” as defined in Rule 415(a)(4)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including sales made on The Nasdaq Capital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at market prices prevailing at the time of sale, prices related to such prevailing market prices, or negotiated transactions, subject to the Company’s instructions. The Sales Agent has agreed to use commercially reasonable efforts consistent with normal trading and sales practices to execute sales orders on mutually agreed terms. There is no arrangement for funds to be received in any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obligated to, and it cannot provide any assurances that it will, make any sales of the Class A Shares under the Sales Agreement. The offering of Class A Shares pursuant to the Sales Agreement will terminate upon the earlier of (i) the sale of all Class A Shares subject to the Sales Agreement or (ii) termination of the Sales Agreement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Sales Agreement, the Company will pay the Sales Agent a commission equal to 3.0% of the gross proceeds of any Class A Shares sold under the Sales Agreement, in addition to reimbursement of certain expenses. The Company anticipates no other commissions or material expenses related to sales under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Sales Agreement does not purport to be complete and is qualified in its entirety by reference to the full text of the Sales Agreement, which is filed as an exhibit to this Report on Form 6-K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shall not constitute an offer to sell or the solicitation of an offer to buy any securities, nor shall there be any offer, solicitation or sale of securities in any jurisdiction in which such offer, solicitation or sale would be unlawful prior to registration or qualification under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 the Company’s Registration Statement on Form F-3 (File No. 333-295763) and the prospectus thereof and any prospectus supplements or amendments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28" w:type="dxa"/>
          <w:right w:w="0" w:type="dxa"/>
        </w:tblCellMar>
      </w:tblPr>
      <w:tblGrid>
        <w:gridCol w:w="995"/>
        <w:gridCol w:w="60"/>
        <w:gridCol w:w="560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60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0" w:type="dxa"/>
            <w:tcBorders/>
            <w:shd w:fill="CCEE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Ogier Global (Cayman) Limited</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0" w:type="dxa"/>
            <w:tcBorders/>
            <w:shd w:fill="FFFFFF" w:val="clear"/>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At-The-Market Issuance Sales Agreement, dated as of June 25, 2026</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0" w:type="dxa"/>
            <w:tcBorders/>
            <w:shd w:fill="CCEE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Ogier Global (Cayman) Limited (included in Exhibit 5.1)</w:t>
              </w:r>
            </w:hyperlink>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470"/>
        <w:gridCol w:w="1160"/>
        <w:gridCol w:w="545"/>
        <w:gridCol w:w="1955"/>
      </w:tblGrid>
      <w:tr>
        <w:trPr/>
        <w:tc>
          <w:tcPr>
            <w:tcW w:w="16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tc>
      </w:tr>
      <w:tr>
        <w:trPr/>
        <w:tc>
          <w:tcPr>
            <w:tcW w:w="16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29,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Shaozhang Lin</w:t>
            </w:r>
          </w:p>
        </w:tc>
      </w:tr>
      <w:tr>
        <w:trPr/>
        <w:tc>
          <w:tcPr>
            <w:tcW w:w="16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Shaozhang Lin</w:t>
            </w:r>
          </w:p>
        </w:tc>
      </w:tr>
      <w:tr>
        <w:trPr/>
        <w:tc>
          <w:tcPr>
            <w:tcW w:w="16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 w:name="ex5-1.htm"/>
      <w:bookmarkStart w:id="3" w:name="ksex5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 cy="233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 cy="23304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2015"/>
        <w:gridCol w:w="3065"/>
      </w:tblGrid>
      <w:tr>
        <w:trPr/>
        <w:tc>
          <w:tcPr>
            <w:tcW w:w="201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Technology Ltd</w:t>
            </w:r>
          </w:p>
        </w:tc>
        <w:tc>
          <w:tcPr>
            <w:tcW w:w="3065" w:type="dxa"/>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+852 3656 6054 </w:t>
            </w:r>
          </w:p>
        </w:tc>
      </w:tr>
      <w:tr>
        <w:trPr/>
        <w:tc>
          <w:tcPr>
            <w:tcW w:w="201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06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u w:val="single"/>
              </w:rPr>
              <w:t>nathan.powell@ogier.com</w:t>
            </w:r>
          </w:p>
        </w:tc>
      </w:tr>
      <w:tr>
        <w:trPr/>
        <w:tc>
          <w:tcPr>
            <w:tcW w:w="201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0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01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06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NMP/CLE/504131.00003</w:t>
            </w:r>
          </w:p>
        </w:tc>
      </w:tr>
      <w:tr>
        <w:trPr/>
        <w:tc>
          <w:tcPr>
            <w:tcW w:w="201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0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01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29 </w:t>
            </w:r>
            <w:r>
              <w:rPr>
                <w:rFonts w:ascii="Times New Roman;Times;Serif" w:hAnsi="Times New Roman;Times;Serif"/>
                <w:b w:val="false"/>
                <w:i w:val="false"/>
                <w:caps w:val="false"/>
                <w:smallCaps w:val="false"/>
                <w:sz w:val="20"/>
              </w:rPr>
              <w:t>June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Cayman Islands legal advisers to the Company in connection with the offering and sale of up to US$100,000,000 worth of Class A ordinary shares of par value US$0.008 each in the capital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pursuant to the terms of the ATM Agreement (as defined below). The Shares are being sold pursuant to a supplement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xml:space="preserve">) to the base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xml:space="preserve">) filed in connection with the Company’s registration statement on Form F-3 (File No. 333-295763), including all amendments or supplements thereto,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as amended, (including its exhibits, the Prospectus and the Prospectus Supplement,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We are furnishing this opinion as Exhibit 5.1 to the Company’s current report on Form 6-K to be furnished to the Commission on 29 June 2026 (the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expressed herein as to any matter pertaining to the contents of the Form 6-K and the Registration Statement other than as expressly stated herein with respect to the issue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the Documents. The headings herein are for convenience only and do not affect the construction of this opinion</w:t>
      </w:r>
    </w:p>
    <w:p>
      <w:pPr>
        <w:pStyle w:val="TextBody"/>
        <w:bidi w:val="0"/>
        <w:spacing w:before="0" w:after="0"/>
        <w:ind w:left="0" w:right="0" w:hanging="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125"/>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8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examined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originals, copies, or drafts of the following documents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certificate of incorporation of the Company dated 21 October 2022 issued by the Registrar of Companies of the Cayman Islands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fifth amended and restated memorandum and articles of association of the Company adopted by special resolution passed on 9 December 2025 (together, the </w:t>
            </w:r>
            <w:r>
              <w:rPr>
                <w:rFonts w:ascii="Times New Roman;Times;Serif" w:hAnsi="Times New Roman;Times;Serif"/>
                <w:b/>
                <w:i w:val="false"/>
                <w:caps w:val="false"/>
                <w:smallCaps w:val="false"/>
                <w:sz w:val="20"/>
              </w:rPr>
              <w:t>Memorandum and Articles</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9920" w:type="dxa"/>
        <w:jc w:val="left"/>
        <w:tblInd w:w="0" w:type="dxa"/>
        <w:tblLayout w:type="fixed"/>
        <w:tblCellMar>
          <w:top w:w="0" w:type="dxa"/>
          <w:left w:w="0" w:type="dxa"/>
          <w:bottom w:w="0" w:type="dxa"/>
          <w:right w:w="0" w:type="dxa"/>
        </w:tblCellMar>
      </w:tblPr>
      <w:tblGrid>
        <w:gridCol w:w="3515"/>
        <w:gridCol w:w="1535"/>
        <w:gridCol w:w="1655"/>
        <w:gridCol w:w="3215"/>
      </w:tblGrid>
      <w:tr>
        <w:trPr/>
        <w:tc>
          <w:tcPr>
            <w:tcW w:w="3515" w:type="dxa"/>
            <w:tcBorders/>
            <w:vAlign w:val="center"/>
          </w:tcPr>
          <w:p>
            <w:pPr>
              <w:pStyle w:val="TableContents"/>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advice on British Virgin Islands,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and Guernsey laws</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Floor 11 Central Tower</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Queen's Road Central</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+852 3656 6000</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+852 3656 6001</w:t>
            </w:r>
          </w:p>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ogier.com</w:t>
            </w:r>
          </w:p>
        </w:tc>
        <w:tc>
          <w:tcPr>
            <w:tcW w:w="1535" w:type="dxa"/>
            <w:tcBorders/>
            <w:vAlign w:val="center"/>
          </w:tcPr>
          <w:p>
            <w:pPr>
              <w:pStyle w:val="TableContents"/>
              <w:bidi w:val="0"/>
              <w:spacing w:before="0" w:after="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Nicholas Plowman</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Nathan Powell</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Oakes</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Payne</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Kate Hodson</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Nelson</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Joanne Collett</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Li</w:t>
            </w:r>
          </w:p>
          <w:p>
            <w:pPr>
              <w:pStyle w:val="TableContents"/>
              <w:bidi w:val="0"/>
              <w:spacing w:before="0" w:after="2"/>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Cecilia Li</w:t>
            </w:r>
          </w:p>
        </w:tc>
        <w:tc>
          <w:tcPr>
            <w:tcW w:w="1655" w:type="dxa"/>
            <w:tcBorders/>
            <w:vAlign w:val="center"/>
          </w:tcPr>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Yuki Yan</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Lin</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Wong</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Janice Chu</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 Rong Ooi</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Huang**</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Florence Chan*</w:t>
            </w:r>
            <w:r>
              <w:rPr>
                <w:rFonts w:ascii="Times New Roman;Times;Serif" w:hAnsi="Times New Roman;Times;Serif"/>
                <w:b w:val="false"/>
                <w:i w:val="false"/>
                <w:caps w:val="false"/>
                <w:smallCaps w:val="false"/>
                <w:position w:val="7"/>
                <w:sz w:val="16"/>
                <w:sz w:val="20"/>
              </w:rPr>
              <w:t>‡</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Bennett**</w:t>
            </w:r>
            <w:r>
              <w:rPr>
                <w:rFonts w:ascii="Times New Roman;Times;Serif" w:hAnsi="Times New Roman;Times;Serif"/>
                <w:b w:val="false"/>
                <w:i w:val="false"/>
                <w:caps w:val="false"/>
                <w:smallCaps w:val="false"/>
                <w:position w:val="7"/>
                <w:sz w:val="16"/>
                <w:sz w:val="20"/>
              </w:rPr>
              <w:t>‡</w:t>
            </w:r>
          </w:p>
          <w:p>
            <w:pPr>
              <w:pStyle w:val="TableContents"/>
              <w:bidi w:val="0"/>
              <w:spacing w:before="0" w:after="2"/>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Bergstrom</w:t>
            </w:r>
            <w:r>
              <w:rPr>
                <w:rFonts w:ascii="Times New Roman;Times;Serif" w:hAnsi="Times New Roman;Times;Serif"/>
                <w:b w:val="false"/>
                <w:i w:val="false"/>
                <w:caps w:val="false"/>
                <w:smallCaps w:val="false"/>
                <w:position w:val="7"/>
                <w:sz w:val="16"/>
                <w:sz w:val="20"/>
              </w:rPr>
              <w:t>‡</w:t>
            </w:r>
          </w:p>
        </w:tc>
        <w:tc>
          <w:tcPr>
            <w:tcW w:w="3215" w:type="dxa"/>
            <w:tcBorders/>
            <w:vAlign w:val="center"/>
          </w:tcPr>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admitted in New Zealand</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admitted in England and Wales</w:t>
            </w:r>
          </w:p>
          <w:p>
            <w:pPr>
              <w:pStyle w:val="TableContents"/>
              <w:bidi w:val="0"/>
              <w:spacing w:before="0" w:after="2"/>
              <w:jc w:val="both"/>
              <w:rPr>
                <w:caps w:val="false"/>
                <w:smallCaps w:val="false"/>
              </w:rPr>
            </w:pPr>
            <w:r>
              <w:rPr>
                <w:caps w:val="false"/>
                <w:smallCaps w:val="false"/>
                <w:position w:val="8"/>
                <w:sz w:val="19"/>
              </w:rPr>
              <w:t>‡</w:t>
            </w:r>
            <w:r>
              <w:rPr>
                <w:caps w:val="false"/>
                <w:smallCaps w:val="false"/>
              </w:rPr>
              <w:t xml:space="preserve"> </w:t>
            </w:r>
            <w:r>
              <w:rPr>
                <w:rFonts w:ascii="Times New Roman;Times;Serif" w:hAnsi="Times New Roman;Times;Serif"/>
                <w:b w:val="false"/>
                <w:i w:val="false"/>
                <w:caps w:val="false"/>
                <w:smallCaps w:val="false"/>
                <w:sz w:val="20"/>
              </w:rPr>
              <w:t>not ordinarily resident in Hong Kong</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left"/>
              <w:rPr/>
            </w:pPr>
            <w:r>
              <w:rPr/>
              <w:t xml:space="preserve">Page </w:t>
            </w:r>
            <w:r>
              <w:rPr>
                <w:b/>
              </w:rPr>
              <w:t xml:space="preserve">2 </w:t>
            </w:r>
            <w:r>
              <w:rPr/>
              <w:t xml:space="preserve">of </w:t>
            </w:r>
            <w:r>
              <w:rPr>
                <w:b/>
              </w:rPr>
              <w:t>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certificate of good standing dated 18 June 2026 (the </w:t>
            </w:r>
            <w:r>
              <w:rPr>
                <w:rFonts w:ascii="Times New Roman;Times;Serif" w:hAnsi="Times New Roman;Times;Serif"/>
                <w:b/>
                <w:i w:val="false"/>
                <w:caps w:val="false"/>
                <w:smallCaps w:val="false"/>
                <w:sz w:val="20"/>
              </w:rPr>
              <w:t>Good Standing Certificate</w:t>
            </w:r>
            <w:r>
              <w:rPr>
                <w:rFonts w:ascii="Times New Roman;Times;Serif" w:hAnsi="Times New Roman;Times;Serif"/>
                <w:b w:val="false"/>
                <w:i w:val="false"/>
                <w:caps w:val="false"/>
                <w:smallCaps w:val="false"/>
                <w:sz w:val="20"/>
              </w:rPr>
              <w:t>) issued by the Registrar in respect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At-The-Market Issuance Sales Agreement dated 25 June 2026 between the Company and Aegis Capital Corp. (the </w:t>
            </w:r>
            <w:r>
              <w:rPr>
                <w:rFonts w:ascii="Times New Roman;Times;Serif" w:hAnsi="Times New Roman;Times;Serif"/>
                <w:b/>
                <w:i w:val="false"/>
                <w:caps w:val="false"/>
                <w:smallCaps w:val="false"/>
                <w:sz w:val="20"/>
              </w:rPr>
              <w:t>ATM Agreement</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written resolutions of all the directors of the Company dated 13 January 2026 and 12 June 2026 (the </w:t>
            </w:r>
            <w:r>
              <w:rPr>
                <w:rFonts w:ascii="Times New Roman;Times;Serif" w:hAnsi="Times New Roman;Times;Serif"/>
                <w:b/>
                <w:i w:val="false"/>
                <w:caps w:val="false"/>
                <w:smallCaps w:val="false"/>
                <w:sz w:val="20"/>
              </w:rPr>
              <w:t>Board Resolutions</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certificate dated on the date hereof as to certain matters of fact signed by a director of the Company (the </w:t>
            </w:r>
            <w:r>
              <w:rPr>
                <w:rFonts w:ascii="Times New Roman;Times;Serif" w:hAnsi="Times New Roman;Times;Serif"/>
                <w:b/>
                <w:i w:val="false"/>
                <w:caps w:val="false"/>
                <w:smallCaps w:val="false"/>
                <w:sz w:val="20"/>
              </w:rPr>
              <w:t>Director's Certificate</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2538" w:type="dxa"/>
        <w:jc w:val="left"/>
        <w:tblInd w:w="0" w:type="dxa"/>
        <w:tblLayout w:type="fixed"/>
        <w:tblCellMar>
          <w:top w:w="0" w:type="dxa"/>
          <w:left w:w="0" w:type="dxa"/>
          <w:bottom w:w="0" w:type="dxa"/>
          <w:right w:w="0" w:type="dxa"/>
        </w:tblCellMar>
      </w:tblPr>
      <w:tblGrid>
        <w:gridCol w:w="38"/>
        <w:gridCol w:w="245"/>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w:t>
            </w:r>
          </w:p>
        </w:tc>
      </w:tr>
    </w:tbl>
    <w:p>
      <w:pPr>
        <w:pStyle w:val="TextBody"/>
        <w:bidi w:val="0"/>
        <w:spacing w:before="0" w:after="283"/>
        <w:jc w:val="left"/>
        <w:rPr/>
      </w:pPr>
      <w:r>
        <w:rPr/>
        <w:t> </w:t>
      </w:r>
    </w:p>
    <w:tbl>
      <w:tblPr>
        <w:tblW w:w="2973" w:type="dxa"/>
        <w:jc w:val="left"/>
        <w:tblInd w:w="0" w:type="dxa"/>
        <w:tblLayout w:type="fixed"/>
        <w:tblCellMar>
          <w:top w:w="0" w:type="dxa"/>
          <w:left w:w="0" w:type="dxa"/>
          <w:bottom w:w="0" w:type="dxa"/>
          <w:right w:w="0" w:type="dxa"/>
        </w:tblCellMar>
      </w:tblPr>
      <w:tblGrid>
        <w:gridCol w:w="38"/>
        <w:gridCol w:w="245"/>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and</w:t>
            </w:r>
          </w:p>
        </w:tc>
      </w:tr>
    </w:tbl>
    <w:p>
      <w:pPr>
        <w:pStyle w:val="TextBody"/>
        <w:bidi w:val="0"/>
        <w:spacing w:before="0" w:after="283"/>
        <w:jc w:val="left"/>
        <w:rPr/>
      </w:pPr>
      <w:r>
        <w:rPr/>
        <w:t> </w:t>
      </w:r>
    </w:p>
    <w:tbl>
      <w:tblPr>
        <w:tblW w:w="1443" w:type="dxa"/>
        <w:jc w:val="left"/>
        <w:tblInd w:w="0" w:type="dxa"/>
        <w:tblLayout w:type="fixed"/>
        <w:tblCellMar>
          <w:top w:w="0" w:type="dxa"/>
          <w:left w:w="0" w:type="dxa"/>
          <w:bottom w:w="0" w:type="dxa"/>
          <w:right w:w="0" w:type="dxa"/>
        </w:tblCellMar>
      </w:tblPr>
      <w:tblGrid>
        <w:gridCol w:w="38"/>
        <w:gridCol w:w="200"/>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6-K.</w:t>
            </w:r>
          </w:p>
        </w:tc>
      </w:tr>
    </w:tbl>
    <w:p>
      <w:pPr>
        <w:pStyle w:val="TextBody"/>
        <w:bidi w:val="0"/>
        <w:spacing w:before="0" w:after="283"/>
        <w:jc w:val="left"/>
        <w:rPr/>
      </w:pPr>
      <w:r>
        <w:rPr/>
        <w:t> </w:t>
      </w:r>
    </w:p>
    <w:tbl>
      <w:tblPr>
        <w:tblW w:w="1263" w:type="dxa"/>
        <w:jc w:val="left"/>
        <w:tblInd w:w="0" w:type="dxa"/>
        <w:tblLayout w:type="fixed"/>
        <w:tblCellMar>
          <w:top w:w="0" w:type="dxa"/>
          <w:left w:w="0" w:type="dxa"/>
          <w:bottom w:w="0" w:type="dxa"/>
          <w:right w:w="0" w:type="dxa"/>
        </w:tblCellMar>
      </w:tblPr>
      <w:tblGrid>
        <w:gridCol w:w="38"/>
        <w:gridCol w:w="125"/>
        <w:gridCol w:w="11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this paragraph 2 without having carried out any independent investigation or verification in respect of those assumptions:</w:t>
      </w:r>
    </w:p>
    <w:p>
      <w:pPr>
        <w:pStyle w:val="TextBody"/>
        <w:bidi w:val="0"/>
        <w:spacing w:before="0" w:after="283"/>
        <w:jc w:val="left"/>
        <w:rPr/>
      </w:pPr>
      <w:r>
        <w:rPr/>
        <w:t> </w:t>
      </w:r>
    </w:p>
    <w:tbl>
      <w:tblPr>
        <w:tblW w:w="5748" w:type="dxa"/>
        <w:jc w:val="left"/>
        <w:tblInd w:w="0" w:type="dxa"/>
        <w:tblLayout w:type="fixed"/>
        <w:tblCellMar>
          <w:top w:w="0" w:type="dxa"/>
          <w:left w:w="0" w:type="dxa"/>
          <w:bottom w:w="0" w:type="dxa"/>
          <w:right w:w="0" w:type="dxa"/>
        </w:tblCellMar>
      </w:tblPr>
      <w:tblGrid>
        <w:gridCol w:w="38"/>
        <w:gridCol w:w="23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original documents examined by us are authentic and complete;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copies of documents examined by us (whether in facsimile, electronic or other form) conform to the originals and those originals are authentic and complete;</w:t>
            </w:r>
          </w:p>
        </w:tc>
      </w:tr>
    </w:tbl>
    <w:p>
      <w:pPr>
        <w:pStyle w:val="TextBody"/>
        <w:bidi w:val="0"/>
        <w:spacing w:before="0" w:after="283"/>
        <w:jc w:val="left"/>
        <w:rPr/>
      </w:pPr>
      <w:r>
        <w:rPr/>
        <w:t> </w:t>
      </w:r>
    </w:p>
    <w:tbl>
      <w:tblPr>
        <w:tblW w:w="8553" w:type="dxa"/>
        <w:jc w:val="left"/>
        <w:tblInd w:w="0" w:type="dxa"/>
        <w:tblLayout w:type="fixed"/>
        <w:tblCellMar>
          <w:top w:w="0" w:type="dxa"/>
          <w:left w:w="0" w:type="dxa"/>
          <w:bottom w:w="0" w:type="dxa"/>
          <w:right w:w="0" w:type="dxa"/>
        </w:tblCellMar>
      </w:tblPr>
      <w:tblGrid>
        <w:gridCol w:w="38"/>
        <w:gridCol w:w="23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seals, dates, stamps and markings (whether on original or copy documents) are genuine;</w:t>
            </w:r>
          </w:p>
        </w:tc>
      </w:tr>
    </w:tbl>
    <w:p>
      <w:pPr>
        <w:pStyle w:val="TextBody"/>
        <w:bidi w:val="0"/>
        <w:spacing w:before="0" w:after="283"/>
        <w:jc w:val="left"/>
        <w:rPr/>
      </w:pPr>
      <w:r>
        <w:rPr/>
        <w:t> </w:t>
      </w:r>
    </w:p>
    <w:tbl>
      <w:tblPr>
        <w:tblW w:w="10203" w:type="dxa"/>
        <w:jc w:val="left"/>
        <w:tblInd w:w="0" w:type="dxa"/>
        <w:tblLayout w:type="fixed"/>
        <w:tblCellMar>
          <w:top w:w="0" w:type="dxa"/>
          <w:left w:w="0" w:type="dxa"/>
          <w:bottom w:w="0" w:type="dxa"/>
          <w:right w:w="0" w:type="dxa"/>
        </w:tblCellMar>
      </w:tblPr>
      <w:tblGrid>
        <w:gridCol w:w="38"/>
        <w:gridCol w:w="245"/>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Good Standing Certificate and the Director’s Certificate is accurate and complete as at the date of this opinion;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copies of the Registration Statement are true and correct copies and the Registration Statement conforms in every material respect to the latest drafts of the same produced to us and, where the Registration Statement has been provided to us in successive drafts marked-up to indicate changes to such documents, all such changes have been so indicated;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provided to us are in full force and effect and have not been amended, varied, supplemented or revoked in any respect;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Resolutions remain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Registration Statement, the ATM Agreement and the transactions set out in the Board Resolutions and no director has a financial interest in or other relationship to a party of the transactions contemplated by the Registration Statement and the Board Resolutions which has not been properly disclosed in the Board Resolutions;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left"/>
              <w:rPr/>
            </w:pPr>
            <w:r>
              <w:rPr/>
              <w:t xml:space="preserve">Page </w:t>
            </w:r>
            <w:r>
              <w:rPr>
                <w:b/>
              </w:rPr>
              <w:t xml:space="preserve">3 </w:t>
            </w:r>
            <w:r>
              <w:rPr/>
              <w:t xml:space="preserve">of </w:t>
            </w:r>
            <w:r>
              <w:rPr>
                <w:b/>
              </w:rPr>
              <w:t>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directors and shareholders of the Company have taken or will take any steps to wind up the Company or to appoint a liquidator or restructuring officer of the Company, and no receiver has been or will be appointed over any of the Company's property or assets;</w:t>
            </w:r>
          </w:p>
        </w:tc>
      </w:tr>
    </w:tbl>
    <w:p>
      <w:pPr>
        <w:pStyle w:val="TextBody"/>
        <w:bidi w:val="0"/>
        <w:spacing w:before="0" w:after="283"/>
        <w:jc w:val="left"/>
        <w:rPr/>
      </w:pPr>
      <w:r>
        <w:rPr/>
        <w:t> </w:t>
      </w:r>
    </w:p>
    <w:tbl>
      <w:tblPr>
        <w:tblW w:w="7788" w:type="dxa"/>
        <w:jc w:val="left"/>
        <w:tblInd w:w="0" w:type="dxa"/>
        <w:tblLayout w:type="fixed"/>
        <w:tblCellMar>
          <w:top w:w="0" w:type="dxa"/>
          <w:left w:w="0" w:type="dxa"/>
          <w:bottom w:w="0" w:type="dxa"/>
          <w:right w:w="0" w:type="dxa"/>
        </w:tblCellMar>
      </w:tblPr>
      <w:tblGrid>
        <w:gridCol w:w="38"/>
        <w:gridCol w:w="20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issue the Shares in furtherance of its objects as set out in its Memorandum;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have sufficient authorized but unissued share capital to effect the issue of any of the Shares at the time of issuance;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have been, or will be, authorised and duly executed and unconditionally delivered by an authorised person for and on behalf of all relevant parties (including the Board) in accordance with all relevant laws;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capacity, power and authority of all parties other than the Company to enter into and perform their obligations under and all documents entered into by such parties in connection with the issuance of the Shares, and the due execution and delivery thereof by each party thereto;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ATM Agreement is, or will be, legal, valid, binding and enforceable against all relevant parties in accordance with its terms under the laws of the State of New York and all other relevant laws (the </w:t>
            </w:r>
            <w:r>
              <w:rPr>
                <w:rFonts w:ascii="Times New Roman;Times;Serif" w:hAnsi="Times New Roman;Times;Serif"/>
                <w:b/>
                <w:i w:val="false"/>
                <w:caps w:val="false"/>
                <w:smallCaps w:val="false"/>
                <w:sz w:val="20"/>
              </w:rPr>
              <w:t>Relevant Law</w:t>
            </w:r>
            <w:r>
              <w:rPr>
                <w:rFonts w:ascii="Times New Roman;Times;Serif" w:hAnsi="Times New Roman;Times;Serif"/>
                <w:b w:val="false"/>
                <w:i w:val="false"/>
                <w:caps w:val="false"/>
                <w:smallCaps w:val="false"/>
                <w:sz w:val="20"/>
              </w:rPr>
              <w:t>) (other than, with respect to the Company, the laws of the Cayman Islands);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the Relevant Law as the governing law of the ATM Agreement has been made in good faith and would be regarded as a valid and binding selection which will be upheld by the courts of the State of New York and any other relevant jurisdiction (other than the Cayman Islands) as a matter of the Relevant Law and all other relevant laws (other than the laws of the Cayman Islands).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invitation has been or will be made by or on behalf of the Company to the public in the Cayman Islands to subscribe for any Shares and none of the Shares have been offered or issued to residents of the Cayman Islands;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necessary corporate action will be taken to authorize and approve any issuance of the Shares and the terms of the offering of such Shares thereof and any other related matters and that the Documents will be duly approved, executed and delivered by or on behalf of the Company and all other parties thereto;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monies paid to or for the account of any party under the Documents or the consummation of the transactions contemplated thereby represent or will represent proceeds of criminal conduct or criminal property or terrorist property (as defined in the Proceeds of Crime Act (As Revised) and the Terrorism Act (As Revised), respectively);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issue of any Shares, the Company will receive consideration for the full issue price thereof which shall be equal to at least the par value thereof;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and after the issuance (where applicable) of the Shares, will be able to pay its liabilities as they fall due;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provision of the law of any jurisdiction, other than the Cayman Islands, which would have any implication in relation to the opinions expressed herein.</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left"/>
              <w:rPr/>
            </w:pPr>
            <w:r>
              <w:rPr/>
              <w:t xml:space="preserve">Page </w:t>
            </w:r>
            <w:r>
              <w:rPr>
                <w:b/>
              </w:rPr>
              <w:t xml:space="preserve">4 </w:t>
            </w:r>
            <w:r>
              <w:rPr/>
              <w:t xml:space="preserve">of </w:t>
            </w:r>
            <w:r>
              <w:rPr>
                <w:b/>
              </w:rPr>
              <w:t>5</w:t>
            </w:r>
          </w:p>
        </w:tc>
      </w:tr>
    </w:tbl>
    <w:p>
      <w:pPr>
        <w:pStyle w:val="TextBody"/>
        <w:bidi w:val="0"/>
        <w:spacing w:before="0" w:after="283"/>
        <w:jc w:val="left"/>
        <w:rPr/>
      </w:pPr>
      <w:r>
        <w:rPr/>
        <w:t> </w:t>
      </w:r>
    </w:p>
    <w:tbl>
      <w:tblPr>
        <w:tblW w:w="963" w:type="dxa"/>
        <w:jc w:val="left"/>
        <w:tblInd w:w="0" w:type="dxa"/>
        <w:tblLayout w:type="fixed"/>
        <w:tblCellMar>
          <w:top w:w="0" w:type="dxa"/>
          <w:left w:w="0" w:type="dxa"/>
          <w:bottom w:w="0" w:type="dxa"/>
          <w:right w:w="0" w:type="dxa"/>
        </w:tblCellMar>
      </w:tblPr>
      <w:tblGrid>
        <w:gridCol w:w="38"/>
        <w:gridCol w:w="125"/>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limitations and qualifications set forth in paragraph 4 below, we are of the opinion that:</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been duly incorporated as an exempted company with limited liability and is validly existing and in good standing with the Registrar of Companies of the Cayman Islands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share capital</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authorised share capital of the Company is US$1,640,000 divided into: (i) 204,750,000 class A ordinary shares of par value of US$0.008 each, and (ii) 20,000,000 class B ordinary shares of par value of US$0.0001 each.</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Valid Issuance of the Class A Shares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to be offered and issued by the Company as contemplated by the ATM Agreement, when issued by the Company:</w:t>
            </w:r>
          </w:p>
        </w:tc>
      </w:tr>
    </w:tbl>
    <w:p>
      <w:pPr>
        <w:pStyle w:val="TextBody"/>
        <w:bidi w:val="0"/>
        <w:spacing w:before="0" w:after="283"/>
        <w:jc w:val="left"/>
        <w:rPr/>
      </w:pPr>
      <w:r>
        <w:rPr/>
        <w:t> </w:t>
      </w:r>
    </w:p>
    <w:tbl>
      <w:tblPr>
        <w:tblW w:w="9003" w:type="dxa"/>
        <w:jc w:val="left"/>
        <w:tblInd w:w="0" w:type="dxa"/>
        <w:tblLayout w:type="fixed"/>
        <w:tblCellMar>
          <w:top w:w="0" w:type="dxa"/>
          <w:left w:w="0" w:type="dxa"/>
          <w:bottom w:w="0" w:type="dxa"/>
          <w:right w:w="0" w:type="dxa"/>
        </w:tblCellMar>
      </w:tblPr>
      <w:tblGrid>
        <w:gridCol w:w="38"/>
        <w:gridCol w:w="20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in full of the consideration as set out in the Prospectus Supplement and the ATM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Prospectus Supplement, the ATM Agreement, the Resolutions and the Memorandum and Articles of Association; and</w:t>
            </w:r>
          </w:p>
        </w:tc>
      </w:tr>
    </w:tbl>
    <w:p>
      <w:pPr>
        <w:pStyle w:val="TextBody"/>
        <w:bidi w:val="0"/>
        <w:spacing w:before="0" w:after="283"/>
        <w:jc w:val="left"/>
        <w:rPr/>
      </w:pPr>
      <w:r>
        <w:rPr/>
        <w:t> </w:t>
      </w:r>
    </w:p>
    <w:tbl>
      <w:tblPr>
        <w:tblW w:w="6993" w:type="dxa"/>
        <w:jc w:val="left"/>
        <w:tblInd w:w="0" w:type="dxa"/>
        <w:tblLayout w:type="fixed"/>
        <w:tblCellMar>
          <w:top w:w="0" w:type="dxa"/>
          <w:left w:w="0" w:type="dxa"/>
          <w:bottom w:w="0" w:type="dxa"/>
          <w:right w:w="0" w:type="dxa"/>
        </w:tblCellMar>
      </w:tblPr>
      <w:tblGrid>
        <w:gridCol w:w="38"/>
        <w:gridCol w:w="32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of those Shares as fully paid on the register of members of the Company,</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validly issued, fully paid and non-assessable.</w:t>
      </w:r>
    </w:p>
    <w:p>
      <w:pPr>
        <w:pStyle w:val="TextBody"/>
        <w:bidi w:val="0"/>
        <w:spacing w:before="0" w:after="283"/>
        <w:jc w:val="left"/>
        <w:rPr/>
      </w:pPr>
      <w:r>
        <w:rPr/>
        <w:t> </w:t>
      </w:r>
    </w:p>
    <w:tbl>
      <w:tblPr>
        <w:tblW w:w="1893" w:type="dxa"/>
        <w:jc w:val="left"/>
        <w:tblInd w:w="0" w:type="dxa"/>
        <w:tblLayout w:type="fixed"/>
        <w:tblCellMar>
          <w:top w:w="0" w:type="dxa"/>
          <w:left w:w="0" w:type="dxa"/>
          <w:bottom w:w="0" w:type="dxa"/>
          <w:right w:w="0" w:type="dxa"/>
        </w:tblCellMar>
      </w:tblPr>
      <w:tblGrid>
        <w:gridCol w:w="38"/>
        <w:gridCol w:w="125"/>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7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Matters not covered</w:t>
            </w:r>
          </w:p>
        </w:tc>
      </w:tr>
    </w:tbl>
    <w:p>
      <w:pPr>
        <w:pStyle w:val="TextBody"/>
        <w:bidi w:val="0"/>
        <w:spacing w:before="0" w:after="283"/>
        <w:jc w:val="left"/>
        <w:rPr/>
      </w:pPr>
      <w:r>
        <w:rPr/>
        <w:t> </w:t>
      </w:r>
    </w:p>
    <w:tbl>
      <w:tblPr>
        <w:tblW w:w="2043" w:type="dxa"/>
        <w:jc w:val="left"/>
        <w:tblInd w:w="0" w:type="dxa"/>
        <w:tblLayout w:type="fixed"/>
        <w:tblCellMar>
          <w:top w:w="0" w:type="dxa"/>
          <w:left w:w="0" w:type="dxa"/>
          <w:bottom w:w="0" w:type="dxa"/>
          <w:right w:w="0" w:type="dxa"/>
        </w:tblCellMar>
      </w:tblPr>
      <w:tblGrid>
        <w:gridCol w:w="38"/>
        <w:gridCol w:w="275"/>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any laws other than the laws of the Cayman Islands, and we have not, for the purposes of this opinion, made any investigation of the laws of any other jurisdiction, and we express no opinion as to the meaning, validity, or effect of references in the Registration Statement to statutes, rules, regulations, codes or judicial authority of any jurisdiction other than the Cayman Islands;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that this opinion expressly provides otherwise, as to the commercial terms of, or the validity, enforceability or effect of the Registration Statement, the accuracy of representations, the fulfilment of warranties or conditions, the occurrence of events of default or terminating events or the existence of any conflicts or inconsistencies among the Registration Statement and any other agreements into which the Company may have entered or any other documents;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whether the acceptance execution or performance of the Company's obligations under the Registration Statement or Documents will result in the breach of or infringe any other agreement, deed or document (other than the Company's Memorandum and Articles) entered into by or binding on the Company.</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left"/>
              <w:rPr/>
            </w:pPr>
            <w:r>
              <w:rPr/>
              <w:t xml:space="preserve">Page </w:t>
            </w:r>
            <w:r>
              <w:rPr>
                <w:b/>
              </w:rPr>
              <w:t xml:space="preserve">5 </w:t>
            </w:r>
            <w:r>
              <w:rPr/>
              <w:t xml:space="preserve">of </w:t>
            </w:r>
            <w:r>
              <w:rPr>
                <w:b/>
              </w:rPr>
              <w:t>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(Revised) (</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good standing</w:t>
            </w:r>
            <w:r>
              <w:rPr>
                <w:rFonts w:ascii="Times New Roman;Times;Serif" w:hAnsi="Times New Roman;Times;Serif"/>
                <w:b w:val="false"/>
                <w:i w:val="false"/>
                <w:caps w:val="false"/>
                <w:smallCaps w:val="false"/>
                <w:sz w:val="20"/>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this opinion, the </w:t>
            </w:r>
            <w:r>
              <w:rPr>
                <w:rFonts w:ascii="Times New Roman;Times;Serif" w:hAnsi="Times New Roman;Times;Serif"/>
                <w:b/>
                <w:i w:val="false"/>
                <w:caps w:val="false"/>
                <w:smallCaps w:val="false"/>
                <w:sz w:val="20"/>
              </w:rPr>
              <w:t>phrase</w:t>
            </w:r>
            <w:r>
              <w:rPr>
                <w:rFonts w:ascii="Times New Roman;Times;Serif" w:hAnsi="Times New Roman;Times;Serif"/>
                <w:b w:val="false"/>
                <w:i w:val="false"/>
                <w:caps w:val="false"/>
                <w:smallCaps w:val="false"/>
                <w:sz w:val="20"/>
              </w:rPr>
              <w:t xml:space="preserve"> “non-assessable” means, with respect to the Resale Shares, that a shareholder shall not, solely by virtue of its status as a shareholder, be liable for additional assessments or calls on the Resale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tc>
      </w:tr>
    </w:tbl>
    <w:p>
      <w:pPr>
        <w:pStyle w:val="TextBody"/>
        <w:bidi w:val="0"/>
        <w:spacing w:before="0" w:after="283"/>
        <w:jc w:val="left"/>
        <w:rPr/>
      </w:pPr>
      <w:r>
        <w:rPr/>
        <w:t> </w:t>
      </w:r>
    </w:p>
    <w:tbl>
      <w:tblPr>
        <w:tblW w:w="2703" w:type="dxa"/>
        <w:jc w:val="left"/>
        <w:tblInd w:w="0" w:type="dxa"/>
        <w:tblLayout w:type="fixed"/>
        <w:tblCellMar>
          <w:top w:w="0" w:type="dxa"/>
          <w:left w:w="0" w:type="dxa"/>
          <w:bottom w:w="0" w:type="dxa"/>
          <w:right w:w="0" w:type="dxa"/>
        </w:tblCellMar>
      </w:tblPr>
      <w:tblGrid>
        <w:gridCol w:w="38"/>
        <w:gridCol w:w="125"/>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of this opinion</w:t>
            </w:r>
          </w:p>
        </w:tc>
      </w:tr>
    </w:tbl>
    <w:p>
      <w:pPr>
        <w:pStyle w:val="TextBody"/>
        <w:bidi w:val="0"/>
        <w:spacing w:before="0" w:after="283"/>
        <w:jc w:val="left"/>
        <w:rPr/>
      </w:pPr>
      <w:r>
        <w:rPr/>
        <w:t> </w:t>
      </w:r>
    </w:p>
    <w:tbl>
      <w:tblPr>
        <w:tblW w:w="1638" w:type="dxa"/>
        <w:jc w:val="left"/>
        <w:tblInd w:w="0" w:type="dxa"/>
        <w:tblLayout w:type="fixed"/>
        <w:tblCellMar>
          <w:top w:w="0" w:type="dxa"/>
          <w:left w:w="0" w:type="dxa"/>
          <w:bottom w:w="0" w:type="dxa"/>
          <w:right w:w="0" w:type="dxa"/>
        </w:tblCellMar>
      </w:tblPr>
      <w:tblGrid>
        <w:gridCol w:w="38"/>
        <w:gridCol w:w="275"/>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w:t>
            </w:r>
          </w:p>
        </w:tc>
      </w:tr>
    </w:tbl>
    <w:p>
      <w:pPr>
        <w:pStyle w:val="TextBody"/>
        <w:bidi w:val="0"/>
        <w:spacing w:before="0" w:after="283"/>
        <w:jc w:val="left"/>
        <w:rPr/>
      </w:pPr>
      <w:r>
        <w:rPr/>
        <w:t> </w:t>
      </w:r>
    </w:p>
    <w:tbl>
      <w:tblPr>
        <w:tblW w:w="7458" w:type="dxa"/>
        <w:jc w:val="left"/>
        <w:tblInd w:w="0" w:type="dxa"/>
        <w:tblLayout w:type="fixed"/>
        <w:tblCellMar>
          <w:top w:w="0" w:type="dxa"/>
          <w:left w:w="0" w:type="dxa"/>
          <w:bottom w:w="0" w:type="dxa"/>
          <w:right w:w="0" w:type="dxa"/>
        </w:tblCellMar>
      </w:tblPr>
      <w:tblGrid>
        <w:gridCol w:w="38"/>
        <w:gridCol w:w="23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governed by, and shall be construed in accordance with, the laws of the Cayman Islands;</w:t>
            </w:r>
          </w:p>
        </w:tc>
      </w:tr>
    </w:tbl>
    <w:p>
      <w:pPr>
        <w:pStyle w:val="TextBody"/>
        <w:bidi w:val="0"/>
        <w:spacing w:before="0" w:after="283"/>
        <w:jc w:val="left"/>
        <w:rPr/>
      </w:pPr>
      <w:r>
        <w:rPr/>
        <w:t> </w:t>
      </w:r>
    </w:p>
    <w:tbl>
      <w:tblPr>
        <w:tblW w:w="4158" w:type="dxa"/>
        <w:jc w:val="left"/>
        <w:tblInd w:w="0" w:type="dxa"/>
        <w:tblLayout w:type="fixed"/>
        <w:tblCellMar>
          <w:top w:w="0" w:type="dxa"/>
          <w:left w:w="0" w:type="dxa"/>
          <w:bottom w:w="0" w:type="dxa"/>
          <w:right w:w="0" w:type="dxa"/>
        </w:tblCellMar>
      </w:tblPr>
      <w:tblGrid>
        <w:gridCol w:w="38"/>
        <w:gridCol w:w="245"/>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to the matters expressly stated in it; and</w:t>
            </w:r>
          </w:p>
        </w:tc>
      </w:tr>
    </w:tbl>
    <w:p>
      <w:pPr>
        <w:pStyle w:val="TextBody"/>
        <w:bidi w:val="0"/>
        <w:spacing w:before="0" w:after="283"/>
        <w:jc w:val="left"/>
        <w:rPr/>
      </w:pPr>
      <w:r>
        <w:rPr/>
        <w:t> </w:t>
      </w:r>
    </w:p>
    <w:tbl>
      <w:tblPr>
        <w:tblW w:w="9153" w:type="dxa"/>
        <w:jc w:val="left"/>
        <w:tblInd w:w="0" w:type="dxa"/>
        <w:tblLayout w:type="fixed"/>
        <w:tblCellMar>
          <w:top w:w="0" w:type="dxa"/>
          <w:left w:w="0" w:type="dxa"/>
          <w:bottom w:w="0" w:type="dxa"/>
          <w:right w:w="0" w:type="dxa"/>
        </w:tblCellMar>
      </w:tblPr>
      <w:tblGrid>
        <w:gridCol w:w="38"/>
        <w:gridCol w:w="23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confined to, and given on the basis of, the laws and practice in the Cayman Islands at the date of this opinion.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 reference to any specific Cayman Islands legislation is a reference to that legislation as amended to, and as in force at, the date of this opinion.</w:t>
            </w:r>
          </w:p>
        </w:tc>
      </w:tr>
    </w:tbl>
    <w:p>
      <w:pPr>
        <w:pStyle w:val="TextBody"/>
        <w:bidi w:val="0"/>
        <w:spacing w:before="0" w:after="283"/>
        <w:jc w:val="left"/>
        <w:rPr/>
      </w:pPr>
      <w:r>
        <w:rPr/>
        <w:t> </w:t>
      </w:r>
    </w:p>
    <w:tbl>
      <w:tblPr>
        <w:tblW w:w="2628" w:type="dxa"/>
        <w:jc w:val="left"/>
        <w:tblInd w:w="0" w:type="dxa"/>
        <w:tblLayout w:type="fixed"/>
        <w:tblCellMar>
          <w:top w:w="0" w:type="dxa"/>
          <w:left w:w="0" w:type="dxa"/>
          <w:bottom w:w="0" w:type="dxa"/>
          <w:right w:w="0" w:type="dxa"/>
        </w:tblCellMar>
      </w:tblPr>
      <w:tblGrid>
        <w:gridCol w:w="38"/>
        <w:gridCol w:w="125"/>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4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rely on this opinion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Form 6-K. We also consent to the reference to this firm in the Registration Statement under the heading "</w:t>
            </w:r>
            <w:r>
              <w:rPr>
                <w:rFonts w:ascii="Times New Roman;Times;Serif" w:hAnsi="Times New Roman;Times;Serif"/>
                <w:b w:val="false"/>
                <w:i/>
                <w:caps w:val="false"/>
                <w:smallCaps w:val="false"/>
                <w:sz w:val="20"/>
              </w:rPr>
              <w:t>Legal Matters</w:t>
            </w:r>
            <w:r>
              <w:rPr>
                <w:rFonts w:ascii="Times New Roman;Times;Serif" w:hAnsi="Times New Roman;Times;Serif"/>
                <w:b w:val="false"/>
                <w:i w:val="false"/>
                <w:caps w:val="false"/>
                <w:smallCaps w:val="false"/>
                <w:sz w:val="20"/>
              </w:rPr>
              <w:t>". In giving such consent, we do not thereby admit that we are in the category of persons whose consent is required under Section 7 of the Act or the rules and regulations of the Commission promulgated thereunder.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be used only in connection with the offer and sale of the Shares and while the Registration Statement is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Ogier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 w:name="ex10-1.htm"/>
      <w:bookmarkStart w:id="5" w:name="ksex10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YouXIN TEchnology LTD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(par value $0.008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At-The-Market Issuance Sales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Capital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 27th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Technology Ltd, a Cayman Islands exempted company with limited liability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with Aegis Capital Corp. (“</w:t>
      </w:r>
      <w:r>
        <w:rPr>
          <w:rFonts w:ascii="Times New Roman;Times;Serif" w:hAnsi="Times New Roman;Times;Serif"/>
          <w:b/>
          <w:i/>
          <w:caps w:val="false"/>
          <w:smallCaps w:val="false"/>
          <w:sz w:val="20"/>
        </w:rPr>
        <w:t>Aegis”</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 </w:t>
      </w: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to issue and sell through or to Aegis, as its exclusive sales agent, Class A Ordinary Shares, par value $0.008 (the “Ordinary Shares”) and such offered shares the “</w:t>
      </w:r>
      <w:r>
        <w:rPr>
          <w:rFonts w:ascii="Times New Roman;Times;Serif" w:hAnsi="Times New Roman;Times;Serif"/>
          <w:b/>
          <w:i/>
          <w:caps w:val="false"/>
          <w:smallCaps w:val="false"/>
          <w:sz w:val="20"/>
        </w:rPr>
        <w:t>Placement Shares”</w:t>
      </w:r>
      <w:r>
        <w:rPr>
          <w:rFonts w:ascii="Times New Roman;Times;Serif" w:hAnsi="Times New Roman;Times;Serif"/>
          <w:b w:val="false"/>
          <w:i w:val="false"/>
          <w:caps w:val="false"/>
          <w:smallCaps w:val="false"/>
          <w:sz w:val="20"/>
        </w:rPr>
        <w:t xml:space="preserve">, from time to time during the term of this Agreement and on the terms set forth in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no event will the Company issue or sell through Aegis such dollar amount of Placement Shares that would exceed the Company’s maximum offering amount permitted under its then current shelf registration capacity using Form F-3 in the aggregate (the “</w:t>
      </w:r>
      <w:r>
        <w:rPr>
          <w:rFonts w:ascii="Times New Roman;Times;Serif" w:hAnsi="Times New Roman;Times;Serif"/>
          <w:b/>
          <w:i/>
          <w:caps w:val="false"/>
          <w:smallCaps w:val="false"/>
          <w:sz w:val="20"/>
        </w:rPr>
        <w:t>Maximum Amount”</w:t>
      </w:r>
      <w:r>
        <w:rPr>
          <w:rFonts w:ascii="Times New Roman;Times;Serif" w:hAnsi="Times New Roman;Times;Serif"/>
          <w:b w:val="false"/>
          <w:i w:val="false"/>
          <w:caps w:val="false"/>
          <w:smallCaps w:val="false"/>
          <w:sz w:val="20"/>
        </w:rPr>
        <w:t>). Notwithstanding anything to the contrary contained herein, the parties hereto agree that compliance with the limitations set forth in this Section 1 on the amount of Placement Shares issued and sold under this Agreement will be the sole responsibility of the Company and that Aegis will have no obligation in connection with such compliance, provided that Aegis follows the lawful trading instructions provided by the Company pursuant to any Placement Notice in all material respects. The issuance and sale of Placement Shares through Aegis will be effected pursuant to the Registration Statement (as defined below) filed by the Company and declared effective by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although nothing in this Agreement will be construed as requiring the Company to use the Registration Statement to issue Ordinary Shares. Certain capitalized terms used in this Agreement have the meanings ascribed to them in Section 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with the SEC, in accordance with the provisions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 the rules and regulations thereunder (the “</w:t>
      </w:r>
      <w:r>
        <w:rPr>
          <w:rFonts w:ascii="Times New Roman;Times;Serif" w:hAnsi="Times New Roman;Times;Serif"/>
          <w:b/>
          <w:i/>
          <w:caps w:val="false"/>
          <w:smallCaps w:val="false"/>
          <w:sz w:val="20"/>
        </w:rPr>
        <w:t>Securities Act Regulations”</w:t>
      </w:r>
      <w:r>
        <w:rPr>
          <w:rFonts w:ascii="Times New Roman;Times;Serif" w:hAnsi="Times New Roman;Times;Serif"/>
          <w:b w:val="false"/>
          <w:i w:val="false"/>
          <w:caps w:val="false"/>
          <w:smallCaps w:val="false"/>
          <w:sz w:val="20"/>
        </w:rPr>
        <w:t>), a registration statement on Form F-3 (File No. 333-295763),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and regulations thereunder. The Company has prepared a prospectus supplement specifically relating to the Placement Shares (the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to the base prospectus included as part of the registration statement. The Company will furnish to Aegis, for use by it, copies of the base prospectus included as part of the registration statement, as supplemented by the Prospectus Supplement, relating to the Placement Shares. Except when the context otherwise requires, such registration statement, including all documents filed as part thereof or incorporated by reference therein, and including any information contained in a Prospectus (as defined below) subsequently filed with the SEC pursuant to Rule 424(b) under the Securities Act Regulations or deemed to be a part of the registration statement pursuant to Rule 430B of the Securities Act Regulations, is herein called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xml:space="preserve"> The base prospectus, including all documents incorporated therein by reference, included in the Registration Statement, as it may be supplemented by the Prospectus Supplement, in the form in which the prospectus and/or Prospectus Supplement have most recently been filed by the Company with the SEC pursuant to Rule 424(b) under the Securities Act Regulations is herein called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xml:space="preserve"> Any reference herein to the Registration Statement, the Prospectus, or any amendment or supplement thereto will be deemed to refer to and include the documents incorporated by reference therein, and any reference herein to the terms “amend,” “amendment,” or “supplement” respecting the Registration Statement or the Prospectus will be deemed to refer to and include the filing after the execution hereof of any document with the SEC deemed to be incorporated by reference therein (the “</w:t>
      </w:r>
      <w:r>
        <w:rPr>
          <w:rFonts w:ascii="Times New Roman;Times;Serif" w:hAnsi="Times New Roman;Times;Serif"/>
          <w:b/>
          <w:i/>
          <w:caps w:val="false"/>
          <w:smallCaps w:val="false"/>
          <w:sz w:val="20"/>
        </w:rPr>
        <w:t>Incorporated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all references to the Registration Statement, the Prospectus, or to any amendment or supplement thereto will be deemed to include the most recent copy filed with the SEC pursuant to its Electronic Data Gathering Analysis and Retrieval System, or if applicable, the Interactive Data Electronic Application system when used by the SEC (collectively, “</w:t>
      </w:r>
      <w:r>
        <w:rPr>
          <w:rFonts w:ascii="Times New Roman;Times;Serif" w:hAnsi="Times New Roman;Times;Serif"/>
          <w:b/>
          <w:i/>
          <w:caps w:val="false"/>
          <w:smallCaps w:val="false"/>
          <w:sz w:val="20"/>
        </w:rPr>
        <w:t>EDGAR”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issue and sell Placement Shares hereunder (each, a “</w:t>
      </w:r>
      <w:r>
        <w:rPr>
          <w:rFonts w:ascii="Times New Roman;Times;Serif" w:hAnsi="Times New Roman;Times;Serif"/>
          <w:b/>
          <w:i/>
          <w:caps w:val="false"/>
          <w:smallCaps w:val="false"/>
          <w:sz w:val="20"/>
        </w:rPr>
        <w:t>Placement”</w:t>
      </w:r>
      <w:r>
        <w:rPr>
          <w:rFonts w:ascii="Times New Roman;Times;Serif" w:hAnsi="Times New Roman;Times;Serif"/>
          <w:b w:val="false"/>
          <w:i w:val="false"/>
          <w:caps w:val="false"/>
          <w:smallCaps w:val="false"/>
          <w:sz w:val="20"/>
        </w:rPr>
        <w:t>), it will notify Aegis by email notice (or other method mutually agreed to in writing by the parties) of the number of Placement Shares to be issued, the period during which sales are requested to be made, any limitation on the number of Placement Shares that may be sold in any one day, and any minimum price below which sales may not be made (a “</w:t>
      </w:r>
      <w:r>
        <w:rPr>
          <w:rFonts w:ascii="Times New Roman;Times;Serif" w:hAnsi="Times New Roman;Times;Serif"/>
          <w:b/>
          <w:i/>
          <w:caps w:val="false"/>
          <w:smallCaps w:val="false"/>
          <w:sz w:val="20"/>
        </w:rPr>
        <w:t>Placement Notice”</w:t>
      </w:r>
      <w:r>
        <w:rPr>
          <w:rFonts w:ascii="Times New Roman;Times;Serif" w:hAnsi="Times New Roman;Times;Serif"/>
          <w:b w:val="false"/>
          <w:i w:val="false"/>
          <w:caps w:val="false"/>
          <w:smallCaps w:val="false"/>
          <w:sz w:val="20"/>
        </w:rPr>
        <w:t>), the form of which is attached hereto as Schedule 1. The Placement Notice will originate from any of the individuals from the Company set forth on Schedule 3 (with a copy to each of the other individuals from the Company listed on the schedule) and will be addressed to each of the individuals from Aegis set forth on Schedule 3, as Schedule 3 may be amended from time to time. The Placement Notice will be effective unless and until: (a) Aegis declines to accept the terms contained therein for any reason, in its sole discretion, by notice to the Company within two (2) Business Days after the receipt of such Placement Notice; (b) the entire amount of the Placement Shares thereunder have been sold; (c) the Company suspends or terminates the Placement Notice; or (d) the Agreement has been terminated under the provisions of Section 13. The amount of any discount, commission, or other compensation to be paid by the Company to Aegis in connection with the sale of the Placement Shares will be calculated in accordance with the terms set forth in Schedule 2. Neither the Company nor Aegis will have any obligation whatsoever respecting a Placement or any Placement Shares unless and until the Company delivers a Placement Notice to Aegis and Aegis does not decline such Placement Notice pursuant to the terms set forth above, and then only upon the terms specified therein and herein. In the event of a conflict between the terms of Section 2, Section 3, and Section 4 of this Agreement and the terms of a Placement Notice, the terms of the Placement Notice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 </w:t>
      </w:r>
      <w:r>
        <w:rPr>
          <w:rFonts w:ascii="Times New Roman;Times;Serif" w:hAnsi="Times New Roman;Times;Serif"/>
          <w:b w:val="false"/>
          <w:i w:val="false"/>
          <w:caps w:val="false"/>
          <w:smallCaps w:val="false"/>
          <w:sz w:val="20"/>
          <w:u w:val="single"/>
        </w:rPr>
        <w:t>Sale of Placement Shares by Aegis</w:t>
      </w:r>
      <w:r>
        <w:rPr>
          <w:rFonts w:ascii="Times New Roman;Times;Serif" w:hAnsi="Times New Roman;Times;Serif"/>
          <w:b w:val="false"/>
          <w:i w:val="false"/>
          <w:caps w:val="false"/>
          <w:smallCaps w:val="false"/>
          <w:sz w:val="20"/>
        </w:rPr>
        <w:t>. Subject to the terms and conditions of this Agreement, Aegis, for the period specified in the Placement Notice, will use its commercially reasonable efforts consistent with its normal trading and sales practices and applicable state and federal laws, rules, and regulations and the rules of the Nasdaq Capital Market (the “</w:t>
      </w:r>
      <w:r>
        <w:rPr>
          <w:rFonts w:ascii="Times New Roman;Times;Serif" w:hAnsi="Times New Roman;Times;Serif"/>
          <w:b/>
          <w:i/>
          <w:caps w:val="false"/>
          <w:smallCaps w:val="false"/>
          <w:sz w:val="20"/>
        </w:rPr>
        <w:t>Exchange”</w:t>
      </w:r>
      <w:r>
        <w:rPr>
          <w:rFonts w:ascii="Times New Roman;Times;Serif" w:hAnsi="Times New Roman;Times;Serif"/>
          <w:b w:val="false"/>
          <w:i w:val="false"/>
          <w:caps w:val="false"/>
          <w:smallCaps w:val="false"/>
          <w:sz w:val="20"/>
        </w:rPr>
        <w:t>), to sell the Placement Shares up to the amount specified, and otherwise in accordance with the terms of such Placement Notice. Aegis will provide written confirmation to the Company no later than the opening of the Trading Day (as defined below) immediately following the Trading Day on which it has sold Placement Shares hereunder, setting forth the number of Placement Shares sold on such day, the compensation payable by the Company to Aegis pursuant to Section 2 for such sales, and the Net Proceeds (as defined below) payable to the Company, with an itemization of the deductions made by Aegis (as set forth in Section 5(b)) from the gross proceeds that it receives from such sales. Subject to the terms of the Placement Notice, Aegis may sell Placement Shares by any method permitted by law deemed to be an “at the market” offering as defined in Rule 415(a)(4) of the Securities Act Regulations, including sales made directly on the Exchange or on any other existing trading market or directly to Aegis as principal in negotiated transactions. for the Ordinary Shares or to or through a market maker. Subject to the terms of a Placement Notice, Aegis may also sell Placement Shares by any other method permitted by law, including in privately negotiated transactions, with the Company’s consent. “</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xml:space="preserve"> means any day on which Ordinary Shares is purchased and sold on the Exchange.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 xml:space="preserve">. The Company or Aegis may, upon notice to the other party in writing (including by email correspondence to each of the individuals of the other party set forth on Schedule 3, if receipt of such correspondence is actually acknowledged by any of the individuals to whom the notice is sent, other than via auto-reply) or by telephone (confirmed immediately by verifiable email correspondence to each of the individuals of the other party set forth on Schedule 3), suspend any sale of Placement Shares; provided, however, that such suspension will not affect or impair any party’s obligations respecting any Placement Shares sold hereunder prior to the receipt of such notice. While a suspension is in effect, any obligation under Section 7(l), Section 7(m), and Section 7(n) with respect to delivery of certificates, opinions and comfort letters to Aegis shall be waived. Each of the parties agrees that no such notice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will be effective against any other party unless it is made to one of the individuals named on Schedule 3 hereto, as such schedule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 </w:t>
      </w:r>
      <w:r>
        <w:rPr>
          <w:rFonts w:ascii="Times New Roman;Times;Serif" w:hAnsi="Times New Roman;Times;Serif"/>
          <w:b w:val="false"/>
          <w:i w:val="false"/>
          <w:caps w:val="false"/>
          <w:smallCaps w:val="false"/>
          <w:sz w:val="20"/>
          <w:u w:val="single"/>
        </w:rPr>
        <w:t>Sale and Delivery to Aegis; Settlement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Sale of Placement Shares</w:t>
      </w:r>
      <w:r>
        <w:rPr>
          <w:rFonts w:ascii="Times New Roman;Times;Serif" w:hAnsi="Times New Roman;Times;Serif"/>
          <w:b w:val="false"/>
          <w:i w:val="false"/>
          <w:caps w:val="false"/>
          <w:smallCaps w:val="false"/>
          <w:sz w:val="20"/>
        </w:rPr>
        <w:t>. On the basis of the representations and warranties herein contained and subject to the terms and conditions herein set forth, upon Aegis’s acceptance of the terms of a Placement Notice, and unless the sale of the Placement Shares described therein has been declined, suspended, or otherwise terminated in accordance with the terms of this Agreement, Aegis, for the period specified in the Placement Notice, will use its commercially reasonable efforts consistent with its normal trading and sales practices and applicable state and federal laws, rules and regulations and the rules of the Exchange to sell such Placement Shares up to the amount specified, and otherwise in accordance with the terms of such Placement Notice. The Company acknowledges and agrees that: (i) there can be no assurance that Aegis will be successful in selling Placement Shares; (ii) Aegis will incur no liability or obligation to the Company or any other Person (as defined herein) if it does not sell Placement Shares for any reason other than a failure by Aegis to use its commercially reasonable efforts consistent with its normal trading and sales practices and applicable law and regulations to sell such Placement Shares as required under this Agreement; and (iii) Aegis will be under no obligation to purchase Placement Shares on a principal basis pursuant to this Agreement, except as otherwise agreed by Aegis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val="false"/>
          <w:caps w:val="false"/>
          <w:smallCaps w:val="false"/>
          <w:sz w:val="20"/>
        </w:rPr>
        <w:t>. Unless otherwise specified in the applicable Placement Notice, settlement for sales of Placement Shares will occur on the second Trading Day (or such earlier day as is industry practice for regular-way trading) following the date on which such sales are made (each, a “</w:t>
      </w:r>
      <w:r>
        <w:rPr>
          <w:rFonts w:ascii="Times New Roman;Times;Serif" w:hAnsi="Times New Roman;Times;Serif"/>
          <w:b/>
          <w:i/>
          <w:caps w:val="false"/>
          <w:smallCaps w:val="false"/>
          <w:sz w:val="20"/>
        </w:rPr>
        <w:t>Settlement Date”</w:t>
      </w:r>
      <w:r>
        <w:rPr>
          <w:rFonts w:ascii="Times New Roman;Times;Serif" w:hAnsi="Times New Roman;Times;Serif"/>
          <w:b w:val="false"/>
          <w:i w:val="false"/>
          <w:caps w:val="false"/>
          <w:smallCaps w:val="false"/>
          <w:sz w:val="20"/>
        </w:rPr>
        <w:t>). Aegis shall notify the Company of each sale of Placement Shares no later than opening day following the Trading Day that Aegis sold Placement Shares. The amount of proceeds to be delivered to the Company on a Settlement Date against receipt of the Placement Shares sold (the “</w:t>
      </w:r>
      <w:r>
        <w:rPr>
          <w:rFonts w:ascii="Times New Roman;Times;Serif" w:hAnsi="Times New Roman;Times;Serif"/>
          <w:b/>
          <w:i/>
          <w:caps w:val="false"/>
          <w:smallCaps w:val="false"/>
          <w:sz w:val="20"/>
        </w:rPr>
        <w:t>Net Proceeds”</w:t>
      </w:r>
      <w:r>
        <w:rPr>
          <w:rFonts w:ascii="Times New Roman;Times;Serif" w:hAnsi="Times New Roman;Times;Serif"/>
          <w:b w:val="false"/>
          <w:i w:val="false"/>
          <w:caps w:val="false"/>
          <w:smallCaps w:val="false"/>
          <w:sz w:val="20"/>
        </w:rPr>
        <w:t>) will be equal to the aggregate sales price received by Aegis, after deduction for: (i) Aegis’s commission, discount, or other compensation for such sales payable by the Company pursuant to Section 2 hereof, and (ii) any transaction fees imposed by any governmental or self-regulatory organization for such sales.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Placement Shares</w:t>
      </w:r>
      <w:r>
        <w:rPr>
          <w:rFonts w:ascii="Times New Roman;Times;Serif" w:hAnsi="Times New Roman;Times;Serif"/>
          <w:b w:val="false"/>
          <w:i w:val="false"/>
          <w:caps w:val="false"/>
          <w:smallCaps w:val="false"/>
          <w:sz w:val="20"/>
        </w:rPr>
        <w:t>. On or before each Settlement Date, the Company will, or will cause its transfer agent to, electronically transfer the Placement Shares being sold by crediting Aegis’s or its designee’s account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Aegis will have given the Company written notice of such designee at least one (1) Business Day prior to the Settlement Date) at The Depository Trust Company through its Deposit and Withdrawal at Custodian System or by such other means of delivery as may be mutually agreed upon by the parties hereto, which in all cases will be freely tradable, transferable, registered shares in good deliverable form. On each Settlement Date, Aegis will deliver the related Net Proceeds in same-day funds to an account designated by the Company on, or prior to, the Settlement Date. The Company agrees that if the Company, or its transfer agent (if applicable), defaults in its obligation to deliver Placement Shares on a Settlement Date through no fault of Aegis, that in addition to and in no way limiting the rights and obligations set forth in Section 11(a) hereto, it will: (i) hold Aegis harmless against any loss, claim, damage, or expense (including reasonable and documented legal fees and expenses), as incurred, arising out of or in connection with such default by the Company or its transfer agent (if applicable); and (ii) pay to Aegis (without duplication) any commission, discount, or other compensation to which it would otherwise have been entitled absent such default.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Limitations on Offering Size</w:t>
      </w:r>
      <w:r>
        <w:rPr>
          <w:rFonts w:ascii="Times New Roman;Times;Serif" w:hAnsi="Times New Roman;Times;Serif"/>
          <w:b w:val="false"/>
          <w:i w:val="false"/>
          <w:caps w:val="false"/>
          <w:smallCaps w:val="false"/>
          <w:sz w:val="20"/>
        </w:rPr>
        <w:t>. Under no circumstances will the Company cause or request the offer or sale of any Placement Shares if, after giving effect to the sale of such Placement Shares, the aggregate gross sales proceeds of Placement Shares sold pursuant to this Agreement would exceed the lesser of: (i) together with all sales of Placement Shares under this Agreement, the Maximum Amount; or (ii) the amount authorized from time to time to be issued and sold under this Agreement by the Company’s board of directors, a duly authorized committee thereof, or a duly authorized executive committee, and notified to Aegis in writing. Under no circumstances will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Aegis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and agrees with, Aegis that as of the date of this Agreement and as of each Applicable Time (as defined below), unless such representation, warranty or agreement specifies a different date or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and Prospectus</w:t>
      </w:r>
      <w:r>
        <w:rPr>
          <w:rFonts w:ascii="Times New Roman;Times;Serif" w:hAnsi="Times New Roman;Times;Serif"/>
          <w:b w:val="false"/>
          <w:i w:val="false"/>
          <w:caps w:val="false"/>
          <w:smallCaps w:val="false"/>
          <w:sz w:val="20"/>
        </w:rPr>
        <w:t>. The Company and, assuming no act or omission on the part of Aegis that would make such statement untrue, the transactions contemplated by this Agreement meet the requirements for and comply with the conditions for the use of Form F-3 under the Securities Act. The Registration Statement has been filed with the SEC and has been declared effective under the Securities Act. The Prospectus Supplement will name Aegis as the agent in the section entitled “Plan of Distribution.” The Company has not received, and has no notice of, any order of the SEC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SEC on or prior to the date of this Agreement have been delivered, or are available through EDGAR, to Aegis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Aegis has consented, which consent shall not be unreasonably withheld or delayed. The Ordinary Shares is currently listed on the Exchange under the trading symbol “YAAS.” Except as disclosed in the Registration Statement, including the Incorporated Documents, the Company has not received notice from the Exchange to the effect that the Company is not in compliance with the Exchange’s listing or maintenance requirements. Except as disclosed in the Registration Statement, including the Incorporated Documents, or the Prospectus, the Company has no reason to believe that it will not in the foreseeable future continue to be in compliance with all such listing and maintenance requirements.</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The Registration Statement, when it became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SEC, contain an untrue statement of a material fact or omit to state a material fact required to be stated in such document or necessary to make the statements in such document, in light of the circumstances under which they were made, not misleading. The foregoing will not apply to statements in, or omissions from, any such document made in reliance upon, and in conformity with, information furnished to the Company by Aegis specifically for use in the preparation thereof. No stop order suspending the effectiveness of the Registration Statement or any post-effective amendment thereto has been issued, and no proceeding for that purpose or pursuant to Section 8A of the Securities Act has been initiated or threatened by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Conformity with Securities Act and Exchange Act</w:t>
      </w:r>
      <w:r>
        <w:rPr>
          <w:rFonts w:ascii="Times New Roman;Times;Serif" w:hAnsi="Times New Roman;Times;Serif"/>
          <w:b w:val="false"/>
          <w:i w:val="false"/>
          <w:caps w:val="false"/>
          <w:smallCaps w:val="false"/>
          <w:sz w:val="20"/>
        </w:rPr>
        <w:t>. The Registration Statement, the Prospectus, any Issuer Free Writing Prospectus or any amendment or supplement thereto, and the documents incorporated by reference in the Registration Statement, the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The consolidated financial statements of the Company included or incorporated by reference in the Registration Statement, the Prospectus, and the Issuer Free Writing Prospectuses, if any, together with the related notes and schedules, complied as to form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consolidated financial position of the Company and the Subsidiaries as of the dates indicated and the consolidated results of operations and cash flows of the Company for the periods specified (subject, in the case of unaudited statements, to normal year-end audit adjustments that will not be material, either individually or in the aggregate); the other financial and statistical data respecting the Company and the Subsidiaries contained or incorporated by reference in the Registration Statement, the Prospectus, and the Issuer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(as defined below) do not have any material liabilities or obligations, direct or contingent (including any off-balance sheet obligations), not described in the Registration Statement (including the exhibits thereto) and the Prospectus that are required to be described in the Registration Statement or the Prospectus (including exhibits thereto and Incorporated Documents); and all disclosures contained or incorporated by reference in the Registration Statement, the Prospectus, and the Issuer Free Writing Prospectuses, if any, regarding “non-GAAP financial measures” (as such term is defined by the rules and regulations of the SEC) comply in all material respects with Regulation G of the Exchange Act and Item 10 of Regulation S-K under the Securities Act, to the extent applicable.</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Conformity with EDGAR Filing</w:t>
      </w:r>
      <w:r>
        <w:rPr>
          <w:rFonts w:ascii="Times New Roman;Times;Serif" w:hAnsi="Times New Roman;Times;Serif"/>
          <w:b w:val="false"/>
          <w:i w:val="false"/>
          <w:caps w:val="false"/>
          <w:smallCaps w:val="false"/>
          <w:sz w:val="20"/>
        </w:rPr>
        <w:t>. The Prospectus delivered to Aegis for use in connection with the sale of the Placement Shares pursuant to this Agreement will be identical to the versions of the Prospectus created to be transmitted to the SEC for filing via EDGAR, except to the extent permitted by Regulation 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Company and each of its Subsidiaries are, and will be, duly organized, validly existing as a corporation, limited partnership, limited liability company, or other legal entity, and in good standing under the laws of their respective jurisdictions of organization. The Company and each of its Subsidiaries are, and will be, duly qualified as a foreign corporation for transaction of business and in good standing under the laws of each other jurisdiction in which their respective ownership or lease of property or the conduct of their respective businesses requires such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the assets, business, operations, earnings, properties, condition (financial or otherwise), prospects, stockholders’ equity, or results of operations of the Company and the Subsidiaries (as defined below) taken as a whole, or prevent or materially interfere with consummation of the transactions contemplated hereby (a “</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The subsidiaries set forth on Schedule 4 (collectively, the “</w:t>
      </w:r>
      <w:r>
        <w:rPr>
          <w:rFonts w:ascii="Times New Roman;Times;Serif" w:hAnsi="Times New Roman;Times;Serif"/>
          <w:b/>
          <w:i/>
          <w:caps w:val="false"/>
          <w:smallCaps w:val="false"/>
          <w:sz w:val="20"/>
        </w:rPr>
        <w:t>Subsidiaries”</w:t>
      </w:r>
      <w:r>
        <w:rPr>
          <w:rFonts w:ascii="Times New Roman;Times;Serif" w:hAnsi="Times New Roman;Times;Serif"/>
          <w:b w:val="false"/>
          <w:i w:val="false"/>
          <w:caps w:val="false"/>
          <w:smallCaps w:val="false"/>
          <w:sz w:val="20"/>
        </w:rPr>
        <w:t>), are the Company’s only subsidiaries. Except as set forth in the Prospectus, the Company owns, directly or indirectly, all of the equity interests of the Subsidiaries free and clear of any material lien, charge, security interest, encumbrance, right of first refusal, or other restriction, and all the equity interests of the Subsidiaries are validly issued and are fully paid, nonassessable, and free of preemptive and similar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Violation or Default</w:t>
      </w:r>
      <w:r>
        <w:rPr>
          <w:rFonts w:ascii="Times New Roman;Times;Serif" w:hAnsi="Times New Roman;Times;Serif"/>
          <w:b w:val="false"/>
          <w:i w:val="false"/>
          <w:caps w:val="false"/>
          <w:smallCaps w:val="false"/>
          <w:sz w:val="20"/>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similar agreement or instrument to which the Company or any of its Subsidiaries is a party, by which the Company or any of its Subsidiaries is bound, or to which any of the property or assets of the Company or any of its Subsidiaries are subject; or (iii) in violation of any law or statute or any judgment, order, rule, or regulation of any court, arbitrator, or governmental or regulatory authority, except, in the case of each of clauses (ii) and (iii) above, for any such violation or default that would not, individually or in the aggregate, reasonably be expected to have a Material Adverse Effect. To the Company’s knowledge, no other party under any material contract or other agreement to which it or any of its Subsidiaries is a party is in default in any respect thereunder where such default would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Subsequent to the respective dates as of which information is given in the Registration Statement, the Prospectus, and the Free Writing Prospectuses, if any (including any document deemed incorporated by reference therein), there has not been: (i) any Material Adverse Effect, or the occurrence of any development that is reasonably likely to result in a prospective Material Adverse Effect, in or affecting the business, properties, management, financial, condition (financial or otherwise), results of operations, or prospects of the Company and the Subsidiaries taken as a whole; (ii) any transaction that is material to the Company and the Subsidiaries taken as a whole; (iii) any obligation or liability, direct or contingent (including any off-balance sheet obligations), incurred by the Company or any Subsidiary, that is material to the Company and the Subsidiaries taken as a whole; (iv) any material change in the share capital (other than as a result of the sale of Placement Shares)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deemed incorporated by reference therein).</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issued and outstanding securities of the Company have been validly issued, are fully paid, and nonassessable. The Company has an authorized, issued, and outstanding capitalization as set forth in the Registration Statement and the Prospectus as of the dates referred to therein (other than the grant of additional equity awards under the Company’s then existing incentive plans or changes in the number of outstanding Ordinary Shares of the Company due to the issuance of shares upon the exercise or conversion of securities exercisable for, or convertible into, Ordinary Shares outstanding on the date hereof or as a result of the issuance of Placement Shares pursuant to this Agreement), and such authorized capital stock conforms to the description thereof set forth in the Registration Statement and the Prospectus. The description of the Ordinary Shares in the Registration Statement and the Prospectus is complete and accurate in all material respects. Except as disclosed in or contemplated by the Registration Statement or the Prospectus, as of the date referred to therein, the Company did not have reserved or available for issuance any shares of Ordinary Shares in respect of options, any rights or warrants to subscribe for, any securities or obligations convertible into or exchangeable for, or any contracts or commitments to issue or sell, securities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Section 11 hereof may be limited by federal or state securities laws and public policy considerations in respect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Authorization of Placement Shares</w:t>
      </w:r>
      <w:r>
        <w:rPr>
          <w:rFonts w:ascii="Times New Roman;Times;Serif" w:hAnsi="Times New Roman;Times;Serif"/>
          <w:b w:val="false"/>
          <w:i w:val="false"/>
          <w:caps w:val="false"/>
          <w:smallCaps w:val="false"/>
          <w:sz w:val="20"/>
        </w:rPr>
        <w:t>. The Placement Shares, when issued and delivered pursuant to the terms approved by the board of directors of the Company or a duly authorized committee thereof, or a duly authorized executive committee, against payment therefor as provided herein, will be duly authorized, validly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No Consents Required</w:t>
      </w:r>
      <w:r>
        <w:rPr>
          <w:rFonts w:ascii="Times New Roman;Times;Serif" w:hAnsi="Times New Roman;Times;Serif"/>
          <w:b w:val="false"/>
          <w:i w:val="false"/>
          <w:caps w:val="false"/>
          <w:smallCaps w:val="false"/>
          <w:sz w:val="20"/>
        </w:rPr>
        <w:t>. No consent, approval, authorization, order, registration, or qualification of or with any court or arbitrator or any governmental or regulatory authority is required for the execution, delivery, and performance by the Company of this Agreement, and the issuance and sale by the Company of the Placement Shares as contemplated hereby, except for such consents, approvals, authorizations, orders, and registrations or qualifications as may be required under applicable state securities laws or by the bylaws and rules of the Financial Industry Regulatory Authority (“</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or the Exchange in connection with the sale of the Placement Shares by Aegis.</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No Preferential Rights</w:t>
      </w:r>
      <w:r>
        <w:rPr>
          <w:rFonts w:ascii="Times New Roman;Times;Serif" w:hAnsi="Times New Roman;Times;Serif"/>
          <w:b w:val="false"/>
          <w:i w:val="false"/>
          <w:caps w:val="false"/>
          <w:smallCaps w:val="false"/>
          <w:sz w:val="20"/>
        </w:rPr>
        <w:t>. Except as set forth in the Registration Statement or the Prospectus: (i) no person, as such term is defined in Rule 1-02 of Regulation S-X promulgated under the Securities Act (each, a “</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has the right, contractual or otherwise, to cause the Company to issue or sell to such Person any Ordinary Shares or shares of any other capital stock or other securities of the Company (other than upon the exercise of options or warrants to purchase Ordinary Shares or upon the exercise of options that may be granted from time to time under the Company’s stock option plans); (ii) no Person has any preemptive rights, rights of first refusal, or any other rights (whether pursuant to a “poison pill” provision or otherwise) to purchase any Ordinary Shares or shares of any other capital stock or other securities of the Company from the Company; (iii) except for Aegis, no Person has the right to act as an underwriter or as a financial advisor to the Company in connection with the offer and sale of the Placement Shares; and (iv) no Person has the right, contractual or otherwise, to require the Company to register under the Securities Act any Ordinary Shares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Independent Public Accountant</w:t>
      </w:r>
      <w:r>
        <w:rPr>
          <w:rFonts w:ascii="Times New Roman;Times;Serif" w:hAnsi="Times New Roman;Times;Serif"/>
          <w:b w:val="false"/>
          <w:i w:val="false"/>
          <w:caps w:val="false"/>
          <w:smallCaps w:val="false"/>
          <w:sz w:val="20"/>
        </w:rPr>
        <w:t>. Marcum Asia CPAs LLP (the “</w:t>
      </w:r>
      <w:r>
        <w:rPr>
          <w:rFonts w:ascii="Times New Roman;Times;Serif" w:hAnsi="Times New Roman;Times;Serif"/>
          <w:b/>
          <w:i/>
          <w:caps w:val="false"/>
          <w:smallCaps w:val="false"/>
          <w:sz w:val="20"/>
        </w:rPr>
        <w:t>Accountants”</w:t>
      </w:r>
      <w:r>
        <w:rPr>
          <w:rFonts w:ascii="Times New Roman;Times;Serif" w:hAnsi="Times New Roman;Times;Serif"/>
          <w:b w:val="false"/>
          <w:i w:val="false"/>
          <w:caps w:val="false"/>
          <w:smallCaps w:val="false"/>
          <w:sz w:val="20"/>
        </w:rPr>
        <w:t>), whose reports on the consolidated financial statements of the Company are filed with the SEC as part of the Company’s most recent Annual Report on Form 20-F and incorporated by reference into the Registration Statement, are and, during the periods covered by its report, were an independent registered public accounting firm within the meaning of the Securities Act and the Public Company Accounting Oversight Board (United States). To the Company’s knowledge, after due inquiry, the Accountants are not in violation of the auditor independence requirements of the Sarbanes-Oxley Act of 2002 (the “</w:t>
      </w:r>
      <w:r>
        <w:rPr>
          <w:rFonts w:ascii="Times New Roman;Times;Serif" w:hAnsi="Times New Roman;Times;Serif"/>
          <w:b/>
          <w:i/>
          <w:caps w:val="false"/>
          <w:smallCaps w:val="false"/>
          <w:sz w:val="20"/>
        </w:rPr>
        <w:t>Sarbanes-Oxley Act”</w:t>
      </w:r>
      <w:r>
        <w:rPr>
          <w:rFonts w:ascii="Times New Roman;Times;Serif" w:hAnsi="Times New Roman;Times;Serif"/>
          <w:b w:val="false"/>
          <w:i w:val="false"/>
          <w:caps w:val="false"/>
          <w:smallCaps w:val="false"/>
          <w:sz w:val="20"/>
        </w:rPr>
        <w:t>) respecting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Enforceability of Agreements</w:t>
      </w:r>
      <w:r>
        <w:rPr>
          <w:rFonts w:ascii="Times New Roman;Times;Serif" w:hAnsi="Times New Roman;Times;Serif"/>
          <w:b w:val="false"/>
          <w:i w:val="false"/>
          <w:caps w:val="false"/>
          <w:smallCaps w:val="false"/>
          <w:sz w:val="20"/>
        </w:rPr>
        <w:t>. To the Company’s knowledge, all agreements between the Company and third parties expressly referenced in the Prospectus, other than such agreements that have expired by their terms or whose termination is disclosed in documents filed by the Company on EDGAR, are legal, valid, and binding obligations of the Company enforceable against the Company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be federal or state securities laws or public policy considerations in respect thereof, except for any unenforceability that, individually or in the aggregate, would not unreasonably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Regulatory Filings</w:t>
      </w:r>
      <w:r>
        <w:rPr>
          <w:rFonts w:ascii="Times New Roman;Times;Serif" w:hAnsi="Times New Roman;Times;Serif"/>
          <w:b w:val="false"/>
          <w:i w:val="false"/>
          <w:caps w:val="false"/>
          <w:smallCaps w:val="false"/>
          <w:sz w:val="20"/>
        </w:rPr>
        <w:t>. Except as disclosed in the Registration Statement and the Prospectus, neither the Company nor any of its Subsidiaries has failed to file with the applicable governmental authorities any required filing, declaration, listing, registration, report or submission, except for such failures that, individually or in the aggregate, would not reasonably be expected to have a Material Adverse Effect; except as disclosed in the Registration Statement and the Prospectus,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Except as set forth in the Registration Statement or the Prospectus: (i) there are no legal, governmental, or regulatory actions, suits, or proceedings pending or, to the Company’s knowledge, any legal, governmental, or regulatory investigations to which the Company, or a Subsidiary, or any of their respective directors, officers, or controlling Persons is a party or to which any property of the Company or any of its Subsidiaries is the subject that, individually or in the aggregate, if determined adversely to the Company or any of its Subsidiaries, would reasonably be expected to have a Material Adverse Effect or materially and adversely affect the ability of the Company to perform its obligations under this Agreement; (ii) to the Company’s knowledge, no actions, suits, or proceedings are threatened or contemplated by any governmental or regulatory authority or threatened by others against the Company, a Subsidiary, or any of their respective directors, officers, or controlling Persons that, individually or in the aggregate, if determined adversely to the Company or any of its Subsidiaries, would reasonably be expected to have a Material Adverse Effect; (iii) there are no current or pending legal, governmental, or regulatory, actions, suits, proceedings or, to the Company’s knowledge, investigations that are required under the Securities Act to be described in the Prospectus that are not described in the Prospectus; and (iv) there are no contracts or other documents that are required under the Securities Act to be filed as exhibits to the Registration Statement that are not so filed.</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Licenses and Permits</w:t>
      </w:r>
      <w:r>
        <w:rPr>
          <w:rFonts w:ascii="Times New Roman;Times;Serif" w:hAnsi="Times New Roman;Times;Serif"/>
          <w:b w:val="false"/>
          <w:i w:val="false"/>
          <w:caps w:val="false"/>
          <w:smallCaps w:val="false"/>
          <w:sz w:val="20"/>
        </w:rPr>
        <w:t>. Except as set forth in the Registration Statement or the Prospectus, the Company and each of its Subsidiaries possess or have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(the “</w:t>
      </w:r>
      <w:r>
        <w:rPr>
          <w:rFonts w:ascii="Times New Roman;Times;Serif" w:hAnsi="Times New Roman;Times;Serif"/>
          <w:b/>
          <w:i/>
          <w:caps w:val="false"/>
          <w:smallCaps w:val="false"/>
          <w:sz w:val="20"/>
        </w:rPr>
        <w:t>Permits”</w:t>
      </w:r>
      <w:r>
        <w:rPr>
          <w:rFonts w:ascii="Times New Roman;Times;Serif" w:hAnsi="Times New Roman;Times;Serif"/>
          <w:b w:val="false"/>
          <w:i w:val="false"/>
          <w:caps w:val="false"/>
          <w:smallCaps w:val="false"/>
          <w:sz w:val="20"/>
        </w:rPr>
        <w:t>), except where the failure to possess, obtain, or make the same would not, individually or in the aggregate, reasonably be expected to have a Material Adverse Effect. Except as disclosed in the Registration Statement or the Prospectus, neither the Company nor its Subsidiaries have received written notice of any proceeding relating to revocation or modification of any such Permit or have any reason to believe that such Permit will not be renewed in the ordinary course, except when the failure to obtain any such renewal would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F-3 Eligibility</w:t>
      </w:r>
      <w:r>
        <w:rPr>
          <w:rFonts w:ascii="Times New Roman;Times;Serif" w:hAnsi="Times New Roman;Times;Serif"/>
          <w:b w:val="false"/>
          <w:i w:val="false"/>
          <w:caps w:val="false"/>
          <w:smallCaps w:val="false"/>
          <w:sz w:val="20"/>
        </w:rPr>
        <w:t>. (i) At the time of filing the Registration Statement; and (ii) if applicable, at the time of the most recent amendment thereto for the purposes of complying with Section 10(a)(3) of the Securities Act (whether such amendment was by post-effective amendment, incorporated report filed pursuant to Section 13 or 15(d) of the Exchange Act, or form of prospectus), the Company met the requirements for use of Form F-3 under the Securities Act, up to the Maximum Amount. As calculated pursuant to Instruction I.B.5 of Form F-3, the aggregate market value of the outstanding voting and non-voting common equity (as defined in Rule 405 under the Securities Act) of the Company held by persons other than affiliates of the Company (pursuant to Rule 144 under the Securities Act, those that directly, or indirectly through one or more intermediaries, control or are controlled by or are under common control with, the Company) (the “</w:t>
      </w:r>
      <w:r>
        <w:rPr>
          <w:rFonts w:ascii="Times New Roman;Times;Serif" w:hAnsi="Times New Roman;Times;Serif"/>
          <w:b/>
          <w:i/>
          <w:caps w:val="false"/>
          <w:smallCaps w:val="false"/>
          <w:sz w:val="20"/>
        </w:rPr>
        <w:t>Non-Affiliate Shares</w:t>
      </w:r>
      <w:r>
        <w:rPr>
          <w:rFonts w:ascii="Times New Roman;Times;Serif" w:hAnsi="Times New Roman;Times;Serif"/>
          <w:b w:val="false"/>
          <w:i w:val="false"/>
          <w:caps w:val="false"/>
          <w:smallCaps w:val="false"/>
          <w:sz w:val="20"/>
        </w:rPr>
        <w:t>”), was approximately $19,067,312  (calculated based on 13,846,647 outstanding Ordinary Shares as of June 22, 2026, of which 8,218,669 Ordinary Shares were Non-Affiliate Shares, and at a price per Ordinary Share of $2.32 as of April 27, 2026, which is a date within the previous 60 days of June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 shell company (as defined in Rule 405 under the Securities Act) and has never been a shell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No Material Defaults</w:t>
      </w:r>
      <w:r>
        <w:rPr>
          <w:rFonts w:ascii="Times New Roman;Times;Serif" w:hAnsi="Times New Roman;Times;Serif"/>
          <w:b w:val="false"/>
          <w:i w:val="false"/>
          <w:caps w:val="false"/>
          <w:smallCaps w:val="false"/>
          <w:sz w:val="20"/>
        </w:rPr>
        <w:t>. Except as set forth in the Registration Statement and Prospectus, neither the Company nor any of the Subsidiaries has defaulted on any installment on indebtedness for borrowed money or on any rental on one or more long-term leases, which defaults, individually or in the aggregate, would reasonably be expected to have a Material Adverse Effect. Except as set forth in the Registration Statement and Prospectus, the Company has not filed a report pursuant to Section 13(a) or 15(d) of the Exchange Act since the filing of its last Annual Report on Form 20-F,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Certain Market Activities</w:t>
      </w:r>
      <w:r>
        <w:rPr>
          <w:rFonts w:ascii="Times New Roman;Times;Serif" w:hAnsi="Times New Roman;Times;Serif"/>
          <w:b w:val="false"/>
          <w:i w:val="false"/>
          <w:caps w:val="false"/>
          <w:smallCaps w:val="false"/>
          <w:sz w:val="20"/>
        </w:rPr>
        <w:t>. Neither the Company or any of the Subsidiaries, nor any of their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Placement Shares.</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Broker-Dealer Relationships</w:t>
      </w:r>
      <w:r>
        <w:rPr>
          <w:rFonts w:ascii="Times New Roman;Times;Serif" w:hAnsi="Times New Roman;Times;Serif"/>
          <w:b w:val="false"/>
          <w:i w:val="false"/>
          <w:caps w:val="false"/>
          <w:smallCaps w:val="false"/>
          <w:sz w:val="20"/>
        </w:rPr>
        <w:t>. Neither the Company nor any of the Subsidiaries or any related entities: (i) are required to register as a “broker” or “dealer” in accordance with the provisions of the Exchange Act; or (ii) directly or indirectly through one or more intermediaries, control or are a “person associated with a member” or “associated person of a member” (within the meaning set forth in the FINRA rules). To the Company’s knowledge, there are no affiliations or associations between any member of FINRA and any of the Company’s officers, directors or 10% or greater security holders, except as set forth in the Registration Statement. All of the information (including, but not limited to, information regarding affiliations, security ownership and trading activity) provided to Aegis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Rule 5110 of FINRA in connection with the transactions contemplated by this Agreement is true, complete and correct, and copies of any Company filings required to be filed with FINRA have been filed with the Commission or delivered to the Sales Agent for filing with FINRA.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relied upon Aegis or legal counsel for Aegis for any legal, tax, or accounting advice in connection with the offering and sale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each of its Subsidiaries have filed all federal, state, local, and foreign tax returns that have been required to be filed and paid all taxes shown thereon through the date hereof, to the extent that such taxes have become due and are not being contested in good faith, except when the failure to do so would not reasonably be expected to have a Material Adverse Effect. Except as otherwise disclosed in or contemplated by the Registration Statement or the Prospectus, no tax deficiency has been determined adversely to the Company or any of its Subsidiaries that has had, or would reasonably be expected to have, individually or in the aggregate, a Material Adverse Effect. The Company has no knowledge of any federal, state, or other governmental tax deficiency, penalty, or assessment that has been or might be asserted or threatened against it that could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Title to Real and Personal Property</w:t>
      </w:r>
      <w:r>
        <w:rPr>
          <w:rFonts w:ascii="Times New Roman;Times;Serif" w:hAnsi="Times New Roman;Times;Serif"/>
          <w:b w:val="false"/>
          <w:i w:val="false"/>
          <w:caps w:val="false"/>
          <w:smallCaps w:val="false"/>
          <w:sz w:val="20"/>
        </w:rPr>
        <w:t>. The Company and each of its Subsidiaries have good and defensible title to all of their real and personal property owned by them that are material to the business of the Company or such Subsidiary, or to the Company’s financial condition, in each case, free and clear of all liens, encumbrances, and defects, except as described in the Registration Statement and Prospectus or that do not materially affect the value of the properties of the Company and its Subsidiaries, considered as one enterprise, and do not interfere in any material respect with the use made and proposed to be made of such properties by the Company and its Subsidiaries, considered as one enterprise; and all of the leases, subleases, and other rights under which the Company or any of its Subsidiaries holds or uses properties described in the Registration Statement and Prospectus are in full force and effect, with such exceptions as would not reasonably be expected to have a Material Adverse Effect, and neither the Company nor any of its Subsidiaries has any notice of any material claim of any sort that has been asserted by anyone adverse to the rights of the Company or its Subsidiaries under any of the leases, subleases, and other rights mentioned above, or affecting or questioning the rights of the Company or any Subsidiary thereof to the continued possession or use of the leased or subleased premises or the premises granted by leases, subleases, and other rights. The Company and each of its Subsidiaries have the consents, easements, rights-of-way, or licenses from any Person as are necessary to enable them to conduct their business in the manner described in the Registration Statement and the Prospectus, subject to such qualifications as may be set forth in the Registration Statement and the Prospectus, and except for the consents, easements, rights-of-way, or licenses the lack of which would not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Except as set forth in the Registration Statement or the Prospectus, to the Company’s knowledge, the Company and its Subsidiaries own or possess adequate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necessary for the conduct of their respective businesses as conducted as of the date hereof, except to the extent that the failure to own or possess adequate rights to use such Intellectual Property would not, individually or in the aggregate, reasonably be expected to have a Material Adverse Effect; except as disclosed in writing to Aegis, the Company and any of its Subsidiaries have not received any written notice of any claim of infringement or conflict that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or its Subsidiaries challenging the Company’s or its Subsidiaries’ rights in or to or the validity of the scope of any of the Company’s or its Subsidiaries’ material patents, patent applications, or proprietary information; to the Company’s knowledge, no other entity or individual has any right or claim in any of the Company’s or its Subsidiaries’ owned, material patents, patent applications, or any patent to be issued therefrom by virtue of any contract, license, or other agreement entered into between such entity or individual and the Company or a Subsidiary or by any non-contractual obligation of the Company or a Subsidiary, other than by written licenses granted by the Company or a Subsidiary; the Company and its Subsidiaries have not received any written notice of any claim challenging the rights of the Company or a Subsidiary in or to any Intellectual Property owned, licensed, or optioned by the Company or such Subsidiary that, if the subject of an unfavorable decision, would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Except as set forth in the Registration Statement or the Prospectus, the Company and its Subsidiaries: (i) are in compliance with any and all applicable federal, state, local, and foreign laws, rules, regulations, decisions, and orders relating to the protection of human health and safety, the environment, hazardous or toxic substances or wastes, pollutants, or contaminants (collectively, “</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(ii) have received and are in compliance with all permits, licenses, or other approvals required of them under applicable Environmental Laws to conduct their respective businesses as described in the Registration Statement and the Prospectus;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 and (iv) there are no costs or liabilities arising under Environmental Laws respecting the operation of the Company’s and each of its Subsidiaries’ properties (including any capital or operating expenditures required for clean-up or closure of the properties, compliance with Environmental Laws, any permit, license, or approval or any related legal constraints or operating activities, and any potential liabilities of third parties assumed under contract by the Company or any of its Subsidiaries) that would,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The Company and each of its Subsidiaries maintain systems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respecting any differences.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 disclosure controls and procedures to provide reasonable assurance that material information relating to the Company and each of its Subsidiaries is made known to the certifying officers by others within those entities, particularly during the period in which the Company’s Annual Report on Form 20-F or interim report of financial statements on Form 6-K, as the case may be, is being prepared. The Company’s certifying officers have evaluated the effectiveness of the Company’s controls and procedures as of a date within 90 days prior to the filing date of the Form 20-F for the fiscal year most recently ended (such date, the “</w:t>
      </w:r>
      <w:r>
        <w:rPr>
          <w:rFonts w:ascii="Times New Roman;Times;Serif" w:hAnsi="Times New Roman;Times;Serif"/>
          <w:b/>
          <w:i/>
          <w:caps w:val="false"/>
          <w:smallCaps w:val="false"/>
          <w:sz w:val="20"/>
        </w:rPr>
        <w:t>Evaluation Date”</w:t>
      </w:r>
      <w:r>
        <w:rPr>
          <w:rFonts w:ascii="Times New Roman;Times;Serif" w:hAnsi="Times New Roman;Times;Serif"/>
          <w:b w:val="false"/>
          <w:i w:val="false"/>
          <w:caps w:val="false"/>
          <w:smallCaps w:val="false"/>
          <w:sz w:val="20"/>
        </w:rPr>
        <w:t>). The Company presented in its Form 20-F for the fiscal year most recently ended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307(b) of Regulation S-K under the Securities Act) (other than as set forth in the Prospectus). Except as disclosed in the Company’s public filings with the SEC, to the knowledge of the Company, the Company’s “internal controls over financial reporting” and “disclosure controls and procedures” are effective.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Sarbanes-Oxley</w:t>
      </w:r>
      <w:r>
        <w:rPr>
          <w:rFonts w:ascii="Times New Roman;Times;Serif" w:hAnsi="Times New Roman;Times;Serif"/>
          <w:b w:val="false"/>
          <w:i w:val="false"/>
          <w:caps w:val="false"/>
          <w:smallCaps w:val="false"/>
          <w:sz w:val="20"/>
        </w:rPr>
        <w:t>. There is and has been no failure on the part of the Company or, to the knowledge of the Company,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respecting all reports, schedules, forms, statements, and other documents required to be filed by it or furnished by it to the SEC. For purposes of the preceding sentence, “principal executive officer” and “principal financial officer” will have the meanings given to such terms in the Sarbanes-Oxley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Neither the Company nor any of the Subsidiaries has incurred any liability for any finder’s fees, brokerage commissions, or similar payments in connection with the transactions herein contemplated, except as may otherwise exist respecting Aegis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Labor Disputes</w:t>
      </w:r>
      <w:r>
        <w:rPr>
          <w:rFonts w:ascii="Times New Roman;Times;Serif" w:hAnsi="Times New Roman;Times;Serif"/>
          <w:b w:val="false"/>
          <w:i w:val="false"/>
          <w:caps w:val="false"/>
          <w:smallCaps w:val="false"/>
          <w:sz w:val="20"/>
        </w:rPr>
        <w:t>. No labor disturbance by or dispute with employees of the Company or any of its Subsidiaries exists or, to the knowledge of the Company, is threatened that would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Times New Roman;Times;Serif" w:hAnsi="Times New Roman;Times;Serif"/>
          <w:b/>
          <w:i/>
          <w:caps w:val="false"/>
          <w:smallCaps w:val="false"/>
          <w:sz w:val="20"/>
        </w:rPr>
        <w:t>Investment Company Act”</w:t>
      </w:r>
      <w:r>
        <w:rPr>
          <w:rFonts w:ascii="Times New Roman;Times;Serif" w:hAnsi="Times New Roman;Times;Serif"/>
          <w:b w:val="false"/>
          <w:i w:val="false"/>
          <w:caps w:val="false"/>
          <w:smallCaps w:val="false"/>
          <w:sz w:val="20"/>
        </w:rPr>
        <w:t>), and the Company and its Subsidiaries and will conduct its business in a manner so that it will not become subject to the Investment Company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Operations</w:t>
      </w:r>
      <w:r>
        <w:rPr>
          <w:rFonts w:ascii="Times New Roman;Times;Serif" w:hAnsi="Times New Roman;Times;Serif"/>
          <w:b w:val="false"/>
          <w:i w:val="false"/>
          <w:caps w:val="false"/>
          <w:smallCaps w:val="false"/>
          <w:sz w:val="20"/>
        </w:rPr>
        <w:t>. To the knowledge of the Company,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agency having jurisdiction over the Company (collectively, the “</w:t>
      </w:r>
      <w:r>
        <w:rPr>
          <w:rFonts w:ascii="Times New Roman;Times;Serif" w:hAnsi="Times New Roman;Times;Serif"/>
          <w:b/>
          <w:i/>
          <w:caps w:val="false"/>
          <w:smallCaps w:val="false"/>
          <w:sz w:val="20"/>
        </w:rPr>
        <w:t>Money Laundering Laws”</w:t>
      </w:r>
      <w:r>
        <w:rPr>
          <w:rFonts w:ascii="Times New Roman;Times;Serif" w:hAnsi="Times New Roman;Times;Serif"/>
          <w:b w:val="false"/>
          <w:i w:val="false"/>
          <w:caps w:val="false"/>
          <w:smallCaps w:val="false"/>
          <w:sz w:val="20"/>
        </w:rPr>
        <w:t>), except as would not reasonably be expected to result in a Material Adverse Effect; and no action, suit, or proceeding by or before any court or governmental agency, authority, or body or any arbitrator involving the Company or any of its Subsidiaries respecting the Money Laundering Laws is pending or, to the knowledge of the Company, threatened.</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Off-Balance Sheet Arrangements</w:t>
      </w:r>
      <w:r>
        <w:rPr>
          <w:rFonts w:ascii="Times New Roman;Times;Serif" w:hAnsi="Times New Roman;Times;Serif"/>
          <w:b w:val="false"/>
          <w:i w:val="false"/>
          <w:caps w:val="false"/>
          <w:smallCaps w:val="false"/>
          <w:sz w:val="20"/>
        </w:rPr>
        <w:t>. There are no transactions, arrangements, and other relationships between and/or among the Company, and/or, to the knowledge of the Company, any of its affiliates and any unconsolidated entity, including any structural finance, special purpose, or limited purpose entity (each, an “</w:t>
      </w:r>
      <w:r>
        <w:rPr>
          <w:rFonts w:ascii="Times New Roman;Times;Serif" w:hAnsi="Times New Roman;Times;Serif"/>
          <w:b/>
          <w:i/>
          <w:caps w:val="false"/>
          <w:smallCaps w:val="false"/>
          <w:sz w:val="20"/>
        </w:rPr>
        <w:t>Off Balance Sheet Transaction”</w:t>
      </w:r>
      <w:r>
        <w:rPr>
          <w:rFonts w:ascii="Times New Roman;Times;Serif" w:hAnsi="Times New Roman;Times;Serif"/>
          <w:b w:val="false"/>
          <w:i w:val="false"/>
          <w:caps w:val="false"/>
          <w:smallCaps w:val="false"/>
          <w:sz w:val="20"/>
        </w:rPr>
        <w:t>) that could reasonably be expected to affect materially the Company’s liquidity or the availability of or requirements for its capital resources, including those Off Balance Sheet Transactions described in the SEC’s Statement about Management’s Discussion and Analysis of Financial Conditions and Results of Operations (Release Nos. 33-8056; 34-45321; FR-61), required to be described in the Prospectus that have not been described as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Underwriter Agreements</w:t>
      </w:r>
      <w:r>
        <w:rPr>
          <w:rFonts w:ascii="Times New Roman;Times;Serif" w:hAnsi="Times New Roman;Times;Serif"/>
          <w:b w:val="false"/>
          <w:i w:val="false"/>
          <w:caps w:val="false"/>
          <w:smallCaps w:val="false"/>
          <w:sz w:val="20"/>
        </w:rPr>
        <w:t>. The Company is not a party to any agreement with an agent or underwriter for any other “at-the-market” or continuous equity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To the knowledge of the Company: (i) each material employee benefit plan, within the meaning of Section 3(3) of the Employee Retirement Income Security Act of 1974, as amended (“</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that is maintained, administered, or contributed to by the Company or any of its Subsidiaries (other than a Multiemployer Plan, within the meaning of Section 3(37) of ERISA) for employees or former employees of the Company and any of its Subsidiaries has been maintained in material compliance with its terms and the requirements of any applicable statutes, orders, rules, and regulations, including ERISA and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(ii) no prohibited transaction, within the meaning of Section 406 of ERISA or Section 4975 of the Code, has occurred respecting any such plan (excluding transactions effected pursuant to a statutory or administrative exemption); and (iii)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equals or exceeds the present value of all benefits accrued under such plan determined using reasonable actuarial assumptions, other than, in the case of (i), (ii), and (iii) above, as would reasonably be expected to not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each of its Subsidiaries carry, or are covered by, insurance in such amounts and covering such risks as the Company and each of its Subsidiaries reasonably believe are adequate for the conduct of their properties and as is customary for companies of similar size engaged in similar businesses in similar industries.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No Improper Practices</w:t>
      </w:r>
      <w:r>
        <w:rPr>
          <w:rFonts w:ascii="Times New Roman;Times;Serif" w:hAnsi="Times New Roman;Times;Serif"/>
          <w:b w:val="false"/>
          <w:i w:val="false"/>
          <w:caps w:val="false"/>
          <w:smallCaps w:val="false"/>
          <w:sz w:val="20"/>
        </w:rPr>
        <w:t>. (i) Neither the Company nor, to the Company’s knowledge, the Subsidiaries or any of their respective officers or directors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Subsidiary or any affiliate of any of them, on the one hand, and the directors, officers and stockholders of the Company or, to the Company’s knowledge,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stockholders, or directors of the Company or, to the Company’s knowledge, any Subsidiary, on the other hand, that is required by the rules of FINRA to be described in the Registration Statement and the Prospectus that is not so described; (iv) except as described in the Prospectus, there are no material outstanding loans or advances or material guarantees of indebtedness by the Company or, to the Company’s knowledge, any Subsidiary to or for the benefit of any of their respective officers or directors or any of the members of the families of any of them; and (v) the Company has not offered, or caused any placement agent to offer, Ordinary Shares to any Person with the intent to influence unlawfully: (1) a customer or supplier of the Company or any Subsidiary to alter the customer’s or supplier’s level or type of business with the Company or any Subsidiary; or (2) a trade journalist or publication to write or publish favorable information about the Company or any Subsidiary or any of their respective products or services; and (vi) neither the Company nor any Subsidiary nor, to the Company’s knowledge, any officer, director, employee or agent of the Company or any Subsidiary has made any payment of funds of the Company or any Subsidiary or received or retained any funds in violation of any law, rule, or regulation (including the Foreign Corrupt Practices Act of 1977), which payment, receipt, or retention of funds is of a character required to be disclosed in the Registration Statement or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Status under the Securities Act</w:t>
      </w:r>
      <w:r>
        <w:rPr>
          <w:rFonts w:ascii="Times New Roman;Times;Serif" w:hAnsi="Times New Roman;Times;Serif"/>
          <w:b w:val="false"/>
          <w:i w:val="false"/>
          <w:caps w:val="false"/>
          <w:smallCaps w:val="false"/>
          <w:sz w:val="20"/>
        </w:rPr>
        <w:t>. The Company was not and is not an ineligible issuer as defined in Rule 405 under the Securities Act at the times specified in Rules 164 and 433 under the Securities Act in connection with the offering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No Misstatement or Omission in an Issuer Free Writing Prospectus</w:t>
      </w:r>
      <w:r>
        <w:rPr>
          <w:rFonts w:ascii="Times New Roman;Times;Serif" w:hAnsi="Times New Roman;Times;Serif"/>
          <w:b w:val="false"/>
          <w:i w:val="false"/>
          <w:caps w:val="false"/>
          <w:smallCaps w:val="false"/>
          <w:sz w:val="20"/>
        </w:rPr>
        <w:t>. Each Issuer Free Writing Prospectus, as of its issue date and as of each Applicable Time (as defined in Section 25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Aegis specifically for use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of this Agreement; the issuance, offering, or sale of the Placement Shares; the consummation of any of the transactions contemplated herein; or the compliance by the Company with the terms and provisions hereof will conflict with or result in a breach of any of the terms and provisions of; constitute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reasonably be expected to have a Material Adverse Effect; nor will such action result in any violation of the provisions of the organizational or governing documents of the Company or in any material violation of the provisions of any statute or any order, rule, or regulation applicable to the Company or of any court or of any federal, state, or other regulatory authority or other government body having jurisdiction over the Company, except where such violation would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Regulatory Compliance</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(each, an “</w:t>
      </w:r>
      <w:r>
        <w:rPr>
          <w:rFonts w:ascii="Times New Roman;Times;Serif" w:hAnsi="Times New Roman;Times;Serif"/>
          <w:b/>
          <w:i/>
          <w:caps w:val="false"/>
          <w:smallCaps w:val="false"/>
          <w:sz w:val="20"/>
        </w:rPr>
        <w:t>Entity”</w:t>
      </w:r>
      <w:r>
        <w:rPr>
          <w:rFonts w:ascii="Times New Roman;Times;Serif" w:hAnsi="Times New Roman;Times;Serif"/>
          <w:b w:val="false"/>
          <w:i w:val="false"/>
          <w:caps w:val="false"/>
          <w:smallCaps w:val="false"/>
          <w:sz w:val="20"/>
        </w:rPr>
        <w:t>) nor any director, officer, employee, agent, affiliate, or representative of the Entity, is a government, individual, or entity that is owned or controlled by any director, officer, employee, agent, affiliate, or representative of the Entity that is: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subject of any sanctions administered or enforced by the U.S. Department of Treasury’s Office of Foreign Assets Control, the United Nations Security Council, the European Union, Her Majesty’s Treasury, or other relevant sanctions authority (collectively, “</w:t>
      </w:r>
      <w:r>
        <w:rPr>
          <w:rFonts w:ascii="Times New Roman;Times;Serif" w:hAnsi="Times New Roman;Times;Serif"/>
          <w:b/>
          <w:i/>
          <w:caps w:val="false"/>
          <w:smallCaps w:val="false"/>
          <w:sz w:val="20"/>
        </w:rPr>
        <w:t>Sanctions”</w:t>
      </w:r>
      <w:r>
        <w:rPr>
          <w:rFonts w:ascii="Times New Roman;Times;Serif" w:hAnsi="Times New Roman;Times;Serif"/>
          <w:b w:val="false"/>
          <w:i w:val="false"/>
          <w:caps w:val="false"/>
          <w:smallCaps w:val="false"/>
          <w:sz w:val="20"/>
        </w:rPr>
        <w:t>);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located, organized, or resident in a country or territory that is the subject of Sanctions (including Burma/Myanmar, Cuba, Iran, North Korea, Sudan and Syria).</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on behalf of each Entity, represents and covenants that it will not, directly or indirectly, use, lend, contribute, or otherwise make available the proceeds of the offering governed by this Agreement to any subsidiary, joint venture partner, or other director, officer, employee, agent, affiliate, or representative of the Entity:</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fund or facilitate any activities or business of or with any Person or in any country or territory that, at the time of such funding or facilitation, is the subject of Sanctions;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any other manner that will result in a violation of Sanctions by any Person (including any Person participating in the offering, whether as underwriter, advisor, investor, or otherwise).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detailed in the Prospectus, for the past five years, the Entity has not knowingly engaged in, is not now knowingly engaged in, and will not engage in, any dealings or transactions with any Person, or in any country or territory, that at the time of the dealing or transaction is or was the subject of Sanctions.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val="false"/>
          <w:caps w:val="false"/>
          <w:smallCaps w:val="false"/>
          <w:sz w:val="20"/>
          <w:u w:val="single"/>
        </w:rPr>
        <w:t>Stock Transfer Taxes</w:t>
      </w:r>
      <w:r>
        <w:rPr>
          <w:rFonts w:ascii="Times New Roman;Times;Serif" w:hAnsi="Times New Roman;Times;Serif"/>
          <w:b w:val="false"/>
          <w:i w:val="false"/>
          <w:caps w:val="false"/>
          <w:smallCaps w:val="false"/>
          <w:sz w:val="20"/>
        </w:rPr>
        <w:t>. On each Settlement Date, all stock transfer or other taxes (other than income taxes) that are required to be paid in connection with the sale and transfer of the Placement Shares to be sold hereunder will be, or will have been, fully paid or provided for by the Company and all laws imposing such taxes will be or will have been fully complied with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Aegis or to counsel for Aegis pursuant to or in connection with this Agreement will be deemed to be a representation and warranty by the Company, as applicable, to Aegis as to the matters set forth therein. The Company acknowledges that Aegis and, for purposes of the opinions to be delivered pursuant to Section 7 hereof, counsel to the Company and counsel to Aegis, will rely upon the accuracy and truthfulness of the foregoing representations and hereby consents to such reliance.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Aegis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After the date of this Agreement and during any period in which a Prospectus relating to any Placement Shares is required to be delivered by Aegis under the Securities Act (including in circumstances when such requirement may be satisfied pursuant to Rule 172 under the Securities Act): (i) the Company will notify Aegis promptly of the time when any subsequent amendment to the Registration Statement, other than documents incorporated by reference, has been filed with the SEC and/or has become effective or any subsequent supplement to the Prospectus has been filed and of any request by the SEC for any amendment or supplement to the Registration Statement or Prospectus or for additional information; (ii) the Company will prepare and file with the SEC, promptly upon Aegis’s reasonable request, any amendments or supplements to the Registration Statement or Prospectus that, in Aegis’s reasonable opinion, may be necessary or advisable in connection with the distribution of the Placement Shares by Aegis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the failure of Aegis to make such request will not relieve the Company of any obligation or liability hereunder, or affect Aegis’s right to rely on the representations and warranties made by the Company in this Agreement and (B) that the only remedy Aegis will have respecting the failure to make such filing will be to cease making sales under this Agreement until such amendment or supplement is filed); (iii) the Company will not file any amendment or supplement to the Registration Statement or Prospectus relating to the Placement Shares unless a copy thereof has been submitted to Aegis within a reasonable period of time before the filing and Aegis has not reasonably objected thereto within two (2) Business Days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failure of Aegis to make such objection will not relieve the Company of any obligation or liability hereunder, or affect Aegis’s right to rely on the representations and warranties made by the Company in this Agreement) and the Company will furnish to Aegis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SEC as required pursuant to the applicable paragraph of Rule 424(b) of the Securities Act or, in the case of any document to be incorporated therein by reference, to be filed with the SEC as required pursuant to the Exchange Act, within the period prescribed (the determination to file or not file any amendment or supplement with the SEC under this Section 7(a), based on the Company’s reasonable opinion or reasonable objections, will be made exclusively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SEC Stop Orders</w:t>
      </w:r>
      <w:r>
        <w:rPr>
          <w:rFonts w:ascii="Times New Roman;Times;Serif" w:hAnsi="Times New Roman;Times;Serif"/>
          <w:b w:val="false"/>
          <w:i w:val="false"/>
          <w:caps w:val="false"/>
          <w:smallCaps w:val="false"/>
          <w:sz w:val="20"/>
        </w:rPr>
        <w:t>. The Company will advise Aegis, promptly after it receives notice or obtains knowledge thereof, of the issuance or threatened issuance by the SEC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Aegis promptly after it receives any request by the SEC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During any period in which a Prospectus relating to the Placement Shares is required to be delivered by Aegis under the Securities Act respecting the offer and sale of the Placement Shares (including in circumstances where such requirement may be satisfied pursuant to Rule 172 under the Securities Act) (the “</w:t>
      </w:r>
      <w:r>
        <w:rPr>
          <w:rFonts w:ascii="Times New Roman;Times;Serif" w:hAnsi="Times New Roman;Times;Serif"/>
          <w:b/>
          <w:i/>
          <w:caps w:val="false"/>
          <w:smallCaps w:val="false"/>
          <w:sz w:val="20"/>
        </w:rPr>
        <w:t>Prospectus Delivery Period”</w:t>
      </w:r>
      <w:r>
        <w:rPr>
          <w:rFonts w:ascii="Times New Roman;Times;Serif" w:hAnsi="Times New Roman;Times;Serif"/>
          <w:b w:val="false"/>
          <w:i w:val="false"/>
          <w:caps w:val="false"/>
          <w:smallCaps w:val="false"/>
          <w:sz w:val="20"/>
        </w:rPr>
        <w:t>), the Company will comply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SEC pursuant to Sections 13(a), 13(c), 14, 15(d), or any other provision of or under the Exchange Act. If the Company has omitted any information from the Registration Statement pursuant to Rule 430B under the Securities Act, it will use its commercially reasonable efforts to comply with the provisions of and make all requisite filings with the SEC pursuant to said Rule 430B and to notify Aegis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the Prospectus Delivery Period it is necessary to amend or supplement the Registration Statement or Prospectus to comply with the Securities Act, the Company will promptly notify Aegis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any amendment or supplement, if in the sole discretion of the Company, it is in the Company’s best interest to do so.</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During the Prospectus Delivery Period, the Company will use its commercially reasonable best efforts to cause the Placement Shares to be listed on the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The Company will furnish to Aegis and its counsel (at the expense of the Company) copies of the Registration Statement, the Prospectus (including all documents incorporated by reference therein) and all amendments and supplements to the Registration Statement or Prospectus that are filed with the SEC during the Prospectus Delivery Period (including all documents filed with the SEC during such period that are deemed to be incorporated by reference therein), in each case as soon as reasonably practicable and in such quantities as Aegis may from time to time reasonably request and, at Aegis’s request, will also furnish copies of the Prospectus to each exchange or market on which sales of the Placement Shares may be made; provided, however, that the Company will not be required to furnish any document (other than the Prospectus) to Aegis to the extent such document is available on EDGAR.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The Company’s compliance with the reporting requirements of the Exchange Act shall be deemed to satisfy this Section 7(f).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substantially as described in the Prospectus in the section entitled “Use of Proceeds.”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xml:space="preserve">. Without prior written notice to Aegis, the Company will not, directly or indirectly, offer to sell, sell, contract to sell, grant any option to sell or otherwise dispose of any Ordinary Shares (other than the Placement Shares offered pursuant to this Agreement) or securities convertible into or exchangeable for Ordinary Shares, warrants or any rights to purchase or acquire, Ordinary Shares during the period beginning on the date on which any Placement Notice is delivered to Aegis hereunder and ending on the Trading Day immediately following the final Settlement Date respecting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“at-the-market” offering sell, contract to sell, grant any option to sell or otherwise dispose of any Ordinary Shares (other than the Placement Shares offered pursuant to this Agreement) or securities convertible into or exchangeable for Ordinary Shares, warrants or any rights to purchase or acquire, Ordinary Shares prior to the later of the termination of this Agreement and the thirtieth (30th) day immediately following the final Settlement Date respecting Placement Shares sold pursuant to such Placement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restrictions will not be required in connection with the Company’s issuance or sale of: (1) Ordinary Shares, options to purchase Ordinary Shares or Ordinary Shares issuable upon the exercise of options, pursuant to any employee or director stock option or benefits plan, stock ownership plan or dividend reinvestment plan (but not Ordinary Shares subject to a waiver to exceed plan limits in its dividend reinvestment plan) of the Company whether now in effect or hereafter implemented; (2) Ordinary Shares issuable upon conversion of securities or the exercise of warrants, options or other rights in effect or outstanding, and disclosed in filings by the Company available on EDGAR or otherwise in writing to Aegis; and (3) Ordinary Shares or securities convertible into or exercisable for Ordinary Shares as consideration for mergers, acquisitions, other business combinations, licensing agreements or strategic alliances, or offered and sold in a privately negotiated transaction to vendors, customers, strategic partners or potential strategic partners who are qualified institutional buyers and not more than three Persons that are “accredited investors” within the meaning of such term under paragraph (a)(1), (a)(2), (a)(3), (a)(7), or (a)(8) of Rule 501 under the Securities Act and otherwise conducted in a manner so as not to be integrated with the offering of Ordinary Shares hereby. Notwithstanding anything to the contrary in the foregoing, the Company shall provide Aegis notice at least three (3) Business Days prior to entry into any private or public offerings of equity.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the pendency of a Placement Notice, advise Aegis promptly after it will have received notice or obtained knowledge thereof, of any information or fact that would alter or affect in any material respect any opinion, certificate, letter or other document required to be provided to Aegis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The Company will cooperate with any reasonable due diligence review conducted by Aegis or its representatives in connection with the transactions contemplated hereby, including providing information and making available documents and senior corporate officers, during regular business hours and at the Company’s principal offices or such other location mutually agreed to by the parties, as Aegis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The Company agrees that on such dates as the Securities Act requires, the Company will: (i) file a prospectus supplement with the SEC under the applicable paragraph of Rule 424(b) under the Securities Act (each and every filing under Rule 424(b), a “</w:t>
      </w:r>
      <w:r>
        <w:rPr>
          <w:rFonts w:ascii="Times New Roman;Times;Serif" w:hAnsi="Times New Roman;Times;Serif"/>
          <w:b/>
          <w:i/>
          <w:caps w:val="false"/>
          <w:smallCaps w:val="false"/>
          <w:sz w:val="20"/>
        </w:rPr>
        <w:t>Filing Date”</w:t>
      </w:r>
      <w:r>
        <w:rPr>
          <w:rFonts w:ascii="Times New Roman;Times;Serif" w:hAnsi="Times New Roman;Times;Serif"/>
          <w:b w:val="false"/>
          <w:i w:val="false"/>
          <w:caps w:val="false"/>
          <w:smallCaps w:val="false"/>
          <w:sz w:val="20"/>
        </w:rPr>
        <w:t>), which prospectus supplement will set forth, within the relevant period, the amount of Placement Shares sold through Aegis, the Net Proceeds to the Company and the compensation payable by the Company to Aegis respecting such Placement Shares; and (ii) deliver such number of copies of each such prospectus supplement to each exchange or market on which such sales were effected as may be required by the rules or regulations of such exchange or market.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On the date of this Agreement and each time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files an annual report on Form 20-F under the Exchange Act (including any Form 20-F/A that contains restated financial statements);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files an interim financial report on Form 6-K under the Exchange Act;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files a current report of foreign private issuer on Form 6-K containing amended audited financial information (other than information “furnished” to provide disclosure relating to the reclassification of certain properties as discontinued operations in accordance with Statement of Financial Accounting Standards No. 144) under the Exchange Act (each date of filing of one or more of the documents referred to in clauses (i) through (iv) will be a “</w:t>
      </w:r>
      <w:r>
        <w:rPr>
          <w:rFonts w:ascii="Times New Roman;Times;Serif" w:hAnsi="Times New Roman;Times;Serif"/>
          <w:b/>
          <w:i/>
          <w:caps w:val="false"/>
          <w:smallCaps w:val="false"/>
          <w:sz w:val="20"/>
        </w:rPr>
        <w:t>Representation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furnish Aegis within five (5) Trading Days of each Representation Date (but in the case of clause (iv) above only if Aegis reasonably determines that the information contained in such Form 6-K is material) with a certificate,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requirement to provide a certificate under this Section 7(l) will be waived for any Representation Date occurring at a time at which no Placement Notice is pending (a “</w:t>
      </w:r>
      <w:r>
        <w:rPr>
          <w:rFonts w:ascii="Times New Roman;Times;Serif" w:hAnsi="Times New Roman;Times;Serif"/>
          <w:b/>
          <w:i/>
          <w:caps w:val="false"/>
          <w:smallCaps w:val="false"/>
          <w:sz w:val="20"/>
        </w:rPr>
        <w:t>Representation Waiver</w:t>
      </w:r>
      <w:r>
        <w:rPr>
          <w:rFonts w:ascii="Times New Roman;Times;Serif" w:hAnsi="Times New Roman;Times;Serif"/>
          <w:b w:val="false"/>
          <w:i w:val="false"/>
          <w:caps w:val="false"/>
          <w:smallCaps w:val="false"/>
          <w:sz w:val="20"/>
        </w:rPr>
        <w:t>”), which Representation Waiver will continue until the earlier to occur of the date the Company delivers a Placement Notice hereunder (which for such period will be considered a Representation Date) and the next occurring Representation Date. Notwithstanding the foregoing, if the Company subsequently decides to sell Placement Shares following a Representation Date for which the Company relied on such Representation Waiver and did not provide Aegis with a certificate under this Section 7(l), then before the Company delivers the Placement Notice or Aegis sells any Placement Shares, the Company will provide Aegis with a certificate, in the form attached hereto as Exhibit A, dated as of the date of the Placement Notice.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On the date of this Agreement and within five (5) Trading Days after each Representation Date for which the Company is obligated to deliver a certificate in the form attached hereto as Exhibit A for which no Representation Waiver is applicable, the Company will cause to be furnished to Aegis written opinions of Kaufman &amp; Canoles P.C. (“</w:t>
      </w:r>
      <w:r>
        <w:rPr>
          <w:rFonts w:ascii="Times New Roman;Times;Serif" w:hAnsi="Times New Roman;Times;Serif"/>
          <w:b/>
          <w:i/>
          <w:caps w:val="false"/>
          <w:smallCaps w:val="false"/>
          <w:sz w:val="20"/>
        </w:rPr>
        <w:t>Company Counsel”</w:t>
      </w:r>
      <w:r>
        <w:rPr>
          <w:rFonts w:ascii="Times New Roman;Times;Serif" w:hAnsi="Times New Roman;Times;Serif"/>
          <w:b w:val="false"/>
          <w:i w:val="false"/>
          <w:caps w:val="false"/>
          <w:smallCaps w:val="false"/>
          <w:sz w:val="20"/>
        </w:rPr>
        <w:t xml:space="preserve">), or other counsel reasonably satisfactory to Aegis, in form and substance reasonably satisfactory to Aegis and its counsel;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the Company will be required to furnish to Aegis no more than one opinion hereunder per calendar quarter;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further, that in lieu of such opinions for subsequent periodic filings under the Exchange Act, Company Counsel may furnish Aegis with a letter (a “</w:t>
      </w:r>
      <w:r>
        <w:rPr>
          <w:rFonts w:ascii="Times New Roman;Times;Serif" w:hAnsi="Times New Roman;Times;Serif"/>
          <w:b/>
          <w:i/>
          <w:caps w:val="false"/>
          <w:smallCaps w:val="false"/>
          <w:sz w:val="20"/>
        </w:rPr>
        <w:t>Reliance Letter”</w:t>
      </w:r>
      <w:r>
        <w:rPr>
          <w:rFonts w:ascii="Times New Roman;Times;Serif" w:hAnsi="Times New Roman;Times;Serif"/>
          <w:b w:val="false"/>
          <w:i w:val="false"/>
          <w:caps w:val="false"/>
          <w:smallCaps w:val="false"/>
          <w:sz w:val="20"/>
        </w:rPr>
        <w:t>) to the effect that Aegis may rely on a prior opinion delivered under this Section 7(m) to the same extent as if it were dated the date of such letter (except that statements in such prior opinion will be deemed to relate to the Registration Statement and the Prospectus as amended or supplemented as of the date of the Reliance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On the date of this Agreement and within five (5) Trading Days after each Representation Date for which no Representation Waiver is applicable, the Company will cause its Accountant to furnish Aegis a letter (the “</w:t>
      </w:r>
      <w:r>
        <w:rPr>
          <w:rFonts w:ascii="Times New Roman;Times;Serif" w:hAnsi="Times New Roman;Times;Serif"/>
          <w:b/>
          <w:i/>
          <w:caps w:val="false"/>
          <w:smallCaps w:val="false"/>
          <w:sz w:val="20"/>
        </w:rPr>
        <w:t>Comfort Letter”</w:t>
      </w:r>
      <w:r>
        <w:rPr>
          <w:rFonts w:ascii="Times New Roman;Times;Serif" w:hAnsi="Times New Roman;Times;Serif"/>
          <w:b w:val="false"/>
          <w:i w:val="false"/>
          <w:caps w:val="false"/>
          <w:smallCaps w:val="false"/>
          <w:sz w:val="20"/>
        </w:rPr>
        <w:t>), dated the date the Comfort Letter is delivered, which will meet the requirements set forth in this Section 7(n). The Comfort Letter from the Accountant will be in a form and substance reasonably satisfactory to Aegis: (i) confirming that they are an independent public accounting firm within the meaning of the Securities Act and the PCAOB; (ii) stating, as of such date, the conclusions and findings of such firm respecting the financial information and other matters ordinarily covered by accountants’ “comfort letters” to underwriters in connection with registered public offerings (the first such letter, the “</w:t>
      </w:r>
      <w:r>
        <w:rPr>
          <w:rFonts w:ascii="Times New Roman;Times;Serif" w:hAnsi="Times New Roman;Times;Serif"/>
          <w:b/>
          <w:i/>
          <w:caps w:val="false"/>
          <w:smallCaps w:val="false"/>
          <w:sz w:val="20"/>
        </w:rPr>
        <w:t>Initial Comfort Letter”</w:t>
      </w:r>
      <w:r>
        <w:rPr>
          <w:rFonts w:ascii="Times New Roman;Times;Serif" w:hAnsi="Times New Roman;Times;Serif"/>
          <w:b w:val="false"/>
          <w:i w:val="false"/>
          <w:caps w:val="false"/>
          <w:smallCaps w:val="false"/>
          <w:sz w:val="20"/>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On the date of this Agreement, Aegis shall have received a certificate, signed on behalf of the Company by its corporate Secretary, certifying as to (i) the Certificate of Incorporation of the Company, (ii) the Bylaws of the Company, (iii) the resolutions of the Board of Directors of the Company (or a committee thereof) authorizing the execution, delivery and performance of this Agreement and the issuance of the Placement Shares and (iv) the incumbency of the officers duly authorized to execute this Agreement and the other documents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Chief Financial Officer’s Certificate</w:t>
      </w:r>
      <w:r>
        <w:rPr>
          <w:rFonts w:ascii="Times New Roman;Times;Serif" w:hAnsi="Times New Roman;Times;Serif"/>
          <w:b w:val="false"/>
          <w:i w:val="false"/>
          <w:caps w:val="false"/>
          <w:smallCaps w:val="false"/>
          <w:sz w:val="20"/>
        </w:rPr>
        <w:t>. On each Representation Date pursuant to Section 7(l)(iii), for which no Representation Waiver is applicable, the Company will cause its Chief Financial Officer to furnish Aegis a certificate, signed on behalf of the Company by its Chief Financial Officer in the form attached hereto as Exhibit 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Ordinary Shares; or (ii) sell, bid for, or purchase Ordinary Shares in violation of Regulation M, or pay anyone any compensation for soliciting purchases of the Placement Shares other than Aegis; provided, however, that the Company may bid for and purchase shares of its Ordinary Shares in accordance with Rule 10b-18 under the Exchange Act.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will conduct its affairs in such a manner so as to reasonably ensure that neither it nor any of its Subsidiaries will be or become, at any time prior to the termination of this Agreement, required to be registered as an “investment company,” as such term is defined in the Investment Company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Other than an Issuer Free Writing Prospectus approved in advance by the Company and Aegis in its capacity as agent hereunder, neither Aegis nor the Company (including its agents and representatives, other than Aegis in its capacity as such) will make, use, prepare, authorize, approve, or refer to any written communication (as defined in Rule 405 under the Securities Act), required to be filed with the SEC, that constitutes an offer to sell or solicitation of an offer to buy Placement Shares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periods specified in the SEC’s rules and forms, including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individuals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 </w:t>
      </w:r>
      <w:r>
        <w:rPr>
          <w:rFonts w:ascii="Times New Roman;Times;Serif" w:hAnsi="Times New Roman;Times;Serif"/>
          <w:b w:val="false"/>
          <w:i w:val="false"/>
          <w:caps w:val="false"/>
          <w:smallCaps w:val="false"/>
          <w:sz w:val="20"/>
          <w:u w:val="single"/>
        </w:rPr>
        <w:t>Representations and Covenants of Aegis</w:t>
      </w:r>
      <w:r>
        <w:rPr>
          <w:rFonts w:ascii="Times New Roman;Times;Serif" w:hAnsi="Times New Roman;Times;Serif"/>
          <w:b w:val="false"/>
          <w:i w:val="false"/>
          <w:caps w:val="false"/>
          <w:smallCaps w:val="false"/>
          <w:sz w:val="20"/>
        </w:rPr>
        <w:t>. Aegis represents and warrants that it is duly registered as a broker-dealer under FINRA, the Exchange Act, and the applicable statutes and regulations of each state in which the Placement Shares will be offered and sold, except such states in which Aegis is exempt from registration or such registration is not otherwise required. Aegis will continue, for the term of this Agreement, to be duly registered as a broker-dealer under FINRA, the Exchange Act, and the applicable statutes and regulations of each state in which the Placement Shares will be offered and sold, except such states in which Aegis is exempt from registration or such registration is not otherwise required, during the term of this Agreement. Aegis will comply with all applicable law and regulations in connection with the Placement Shares, including Regulation 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The Company agrees to reimburse Aegis upon request for its costs and out of pocket expenses incurred in connection with its services hereunder Agreement, including the fees and out-of-pocket expenses of its legal counsel. The Company shall bear and be responsible for all expenses which are customarily borne by issuers for transactions of the type set forth herein. Moreover, the Company shall be responsible for and pay all fees, expenses and disbursements relating to background checks of the Company’s officers and directors by a search firm acceptable to Aegis. Notwithstanding the foregoing, if the proposed Offering is terminated, postponed or not consummated for any reason, the Company shall reimburse the actual, accountable costs and expenses incurred by Aegis in connection with its engagement hereunder, including legal fees and out-of-pocket expenses. Legal fees and out-of-pocket expenses for the offering will be as follows: (a) $75,000 upon filing with the Commission of the Prospectus and (b) for so long as an offering is open the Company will pay the actual, accountable legal fees incurred by Aegis in connection with updating due diligence in connection with the offering equal to (i) $2,500 following each filing of semi-annual financials and (ii) $7,500 following each filing of an annual report on Form 20-F, which amounts will be paid upon an applicable Representation Date for which the Company is not relying on a Representation Waiver.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 </w:t>
      </w:r>
      <w:r>
        <w:rPr>
          <w:rFonts w:ascii="Times New Roman;Times;Serif" w:hAnsi="Times New Roman;Times;Serif"/>
          <w:b w:val="false"/>
          <w:i w:val="false"/>
          <w:caps w:val="false"/>
          <w:smallCaps w:val="false"/>
          <w:sz w:val="20"/>
          <w:u w:val="single"/>
        </w:rPr>
        <w:t>Conditions to Aegis’s Obligations</w:t>
      </w:r>
      <w:r>
        <w:rPr>
          <w:rFonts w:ascii="Times New Roman;Times;Serif" w:hAnsi="Times New Roman;Times;Serif"/>
          <w:b w:val="false"/>
          <w:i w:val="false"/>
          <w:caps w:val="false"/>
          <w:smallCaps w:val="false"/>
          <w:sz w:val="20"/>
        </w:rPr>
        <w:t>. The obligations of Aegis hereunder respecting a Placement will be subject to the continuing accuracy and completeness of the representations and warranties made by the Company herein, to the due performance by the Company in all material respects of its obligations hereunder, to the completion by Aegis of a due diligence review satisfactory to it in its reasonable judgment, and to the continuing satisfaction (or waiver by Aegis in its sole discretion) of the following additional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Company shall at all times maintain in effect the Registration Statement, which will be available for the sale of all Placement Shares contemplated to be issued by any Placement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will have occurred and be continuing: (i) receipt by the Company of any request for additional information from the SEC or any other federal or state governmental authority during the period of effectiveness of the Registration Statement the response to which would require any post-effective amendments or supplements to the Registration Statement or the Prospectus; (ii) the issuance by the SEC or any other federal or state governmental authority of any stop order suspending the effectiveness of the Registration Statement or the initiation of any proceedings for that purpose; (iii) receipt by the Company of any notification respecting the suspension of the qualification or exemption from qualification of any of the Placement Shares for sale in any jurisdiction or the initiation or threatening of any proceeding for such purpose; or (iv) the occurrence of any event that requires the making of any changes in the Registration Statement, the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Aegis will not have been advised by the Company that the Registration Statement or Prospectus, or any amendment or supplement thereto, contains an untrue statement of fact that in Aegis’s reasonable opinion is material, or omits to state a fact that in Aegis’s opinion is material and is required to be stated therein or is necessary to make the statements therein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Prospectus, or disclosed in the Company’s reports filed with the SEC, there will not have been any material adverse change, on a consolidated basis, in the authorized capital stock of the Company or any Material Adverse Effect, or any development that would reasonably be expected to cause a Material Adverse Effect.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Aegis will have received the opinions of Company Counsel required to be delivered pursuant Section 7(m) on or before the date on which such delivery of such opinions is required pursuant to Section 7(m).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Comfort Letters</w:t>
      </w:r>
      <w:r>
        <w:rPr>
          <w:rFonts w:ascii="Times New Roman;Times;Serif" w:hAnsi="Times New Roman;Times;Serif"/>
          <w:b w:val="false"/>
          <w:i w:val="false"/>
          <w:caps w:val="false"/>
          <w:smallCaps w:val="false"/>
          <w:sz w:val="20"/>
        </w:rPr>
        <w:t>. Aegis will have received the Comfort Letters required to be delivered pursuant Section 7(n) on or before the date on which such delivery of such letter is required pursuant to Section 7(n).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Aegis will have received the certificate required to be delivered pursuant to Section 7(l) on or before the date on which delivery of such certificate is required pursuant to Section 7(l).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Aegis will have received the Secretary’s certificate required to be delivered pursuant to Section 7(o) on or before the date on which delivery of such certificate is required pursuant to Section 7(o).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Ordinary Shares will not have been suspended on the Exchange and the Ordinary Shares will not have been delisted from the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On each date on which the Company is required to deliver a certificate pursuant to Section 7(l), the Company will have furnished to Aegis such appropriate further information, certificates, and documents as Aegis may reasonably request and that are usually and customarily furnished by an issuer of securities in connection with a securities offering. All such opinions, certificates, letters, and other documents will be in compliance with the provisions hereof. The Company will furnish Aegis with such conformed copies of such opinions, certificates, letters, and other documents as Aegis will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SEC required by Rule 424 with respect to the Placement Shares under the Securities Act to have been filed prior to the issuance of any Placement Notice hereunder will have been made within the applicable period prescribed for such filing by Rule 424.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The Placement Shares will either have been approved for listing on the Exchange, subject only to notice of issuance, or the Company will have filed an application for listing of the Placement Shares on the Exchange at, or prior to, the issuance of any Placement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No event will have occurred that would permit Aegis to terminate this Agreement pursuant to Section 13(a).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If applicable, FINRA shall have raised no objection to the terms of this offering and the amount of compensation allowable or payable to Aegis as described in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The Company agrees to indemnify and hold harmless Aegis, its partners, members, directors, officers, employees, and agents and each Person, if any, who controls Aegis within the meaning of Section 15 of the Securities Act or Section 20 of the Exchange Act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any such settlement is effected with the written consent of the Company, which consent will not unreasonably be delayed or withheld;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and all expense whatsoever, as incurred (including the reasonable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this indemnity agreement will not apply to any loss, liability, claim, damage, or expense to the extent arising out of Aegis’s gross negligence or willful misconduct or any untrue statement or omission or alleged untrue statement or omission made solely in reliance upon and in conformity with written information furnished to the Company by Aegis expressly for use in the Registration Statement (or any amendment thereto), or in any related Issuer Free Writing Prospectus or the Prospectus (or any amendment or supplement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Aegis Indemnification</w:t>
      </w:r>
      <w:r>
        <w:rPr>
          <w:rFonts w:ascii="Times New Roman;Times;Serif" w:hAnsi="Times New Roman;Times;Serif"/>
          <w:b w:val="false"/>
          <w:i w:val="false"/>
          <w:caps w:val="false"/>
          <w:smallCaps w:val="false"/>
          <w:sz w:val="20"/>
        </w:rPr>
        <w:t>. Aegis agrees to indemnify and hold harmless the Company and its directors and each officer of the Company who signed the Registration Statement, and each Person, if any, that: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11(a), as incurred, but only respecting untrue statements or omissions, or alleged untrue statements or omissions, made in the Registration Statement (or any amendments thereto), the Prospectus (or any amendment or supplement thereto) or any Free Writing Prospectus in reliance upon and in conformity with information furnished to the Company in writing by Aegis expressly for use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party that proposes to assert the right to be indemnified under this Section 11 will, promptly after receipt of notice of commencement of any action against such party in respect of which a claim is to be made against an indemnifying party or parties under this Section 11, notify each such indemnifying party of the commencement of such action, enclosing a copy of all papers served, but the omission so to notify such indemnifying party will not relieve the indemnifying party from: (1) any liability that it might have to any indemnified party otherwise than under this Section 11; and (2) any liability that it may have to any indemnified party under the foregoing provision of this Section 11 unless, and only to the extent that, such omission results in the forfeiture or material impairment of substantive rights or defenses by the indemnifying party.</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It is understood that the indemnifying party or parties will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relating to fees, disbursements and other charges in reasonable detail.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 indemnifying party will not, in any event, be liable for any settlement of any action or claim effected without its written consent. No indemnifying party will, without the prior written consent of each indemnified party, settle or compromise or consent to the entry of any judgment in any pending or threatened claim, action, or proceeding relating to the matters contemplated by this Section 11 (whether or not any indemnified party is a party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In order to provide for just and equitable contribution in circumstances in which the indemnification provided for in the foregoing paragraphs of this Section 11 is applicable in accordance with its terms but for any reason is held to be unavailable from the Company or Aegis, the Company and Aegis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Aegis, such as Persons that control the Company within the meaning of the Securities Act, officers of the Company who signed the Registration Statement and directors of the Company, who also may be liable for contribution) to which the Company and Aegis may be subject in such proportion as is appropriate to reflect the relative benefits received by the Company, on the one hand, and Aegis, on the other hand. The relative benefits received by the Company, on the one hand, and Aegis, on the other hand, will be deemed to be in the same proportion as the total net proceeds from the sale of the Placement Shares (before deducting expenses) received by the Company bear to the total compensation received by Aegis (before deducting expenses) from the sale of Placement Shares on behalf of the Company. If, but only if, the allocation provided by the foregoing sentence is not permitted by applicable law, the allocation of contribution will be made in such proportion as is appropriate to reflect not only the relative benefits referred to in the foregoing sentence but also the relative fault of the Company, on the one hand, and Aegis, on the other hand, respecting the statements or omission that resulted in such loss, claim, liability, expense or damage, or action in respect thereof, as well as any other relevant equitable considerations respecting such offering. Such relative fault will be determined by reference to, among other things, whether the untrue or alleged untrue statement of a material fact or omission or alleged omission to state a material fact relates to information supplied by the Company or Aegis, the intent of the parties and their relative knowledge, access to information and opportunity to correct or prevent such statement or omission. The Company and Aegis agree that it would not be just and equitable if contributions pursuant to this Section 11(d)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11(d) will be deemed to include, for the purpose of this Section 11(d), any legal or other expenses reasonably incurred by such indemnified party in connection with investigating or defending any such action or claim to the extent consistent with Section 11(c) hereof. Notwithstanding the foregoing provisions of this Section 11(d), Aegis will not be required to contribute any amount in excess of the commissions received by it under this Agreement and no Person found guilty of fraudulent misrepresentation (within the meaning of </w:t>
      </w:r>
      <w:r>
        <w:rPr>
          <w:rFonts w:ascii="Times New Roman;Times;Serif" w:hAnsi="Times New Roman;Times;Serif"/>
          <w:b w:val="false"/>
          <w:i w:val="false"/>
          <w:caps w:val="false"/>
          <w:smallCaps w:val="false"/>
          <w:sz w:val="20"/>
          <w:u w:val="single"/>
        </w:rPr>
        <w:t>Section 11(f)</w:t>
      </w:r>
      <w:r>
        <w:rPr>
          <w:rFonts w:ascii="Times New Roman;Times;Serif" w:hAnsi="Times New Roman;Times;Serif"/>
          <w:b w:val="false"/>
          <w:i w:val="false"/>
          <w:caps w:val="false"/>
          <w:smallCaps w:val="false"/>
          <w:sz w:val="20"/>
        </w:rPr>
        <w:t xml:space="preserve"> of the Securities Act) will be entitled to contribution from any Person who was not guilty of such fraudulent misrepresentation. For purposes of this Section 11(d), any Person who controls a party to this Agreement within the meaning of the Securities Act, and any officers, directors, partners, employees or agents of Aegis,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11(d), will notify any such party or parties from whom contribution may be sought, but the omission to so notify will not relieve that party or parties from whom contribution may be sought from any other obligation it or they may have under this Section 11(d) except to the extent that the failure to so notify such other party materially prejudiced the substantive rights or defenses of the party from whom contribution is sought. Except for a settlement entered into pursuant to the last sentence of Section 11(c) hereof, no party will be liable for contribution respecting any action or claim settled without its written consent if such consent is required pursuant to Section 11(c)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 </w:t>
      </w: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The indemnity and contribution agreements contained in Section 11 of this Agreement and all representations and warranties of the Company herein or in certificates delivered pursuant hereto will survive, as of their respective dates, regardless of: (a) any investigation made by or on behalf of Aegis, any controlling Persons, or the Company (or any of their respective officers, directors, or controlling Persons); (b) delivery and acceptance of the Placement Shares and payment therefor; or (c) any termination of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Aegis may terminate this Agreement, by notice to the Company, as hereinafter specified at any time: (i) if there has been, since the time of execution of this Agreement or since the date as of which information is given in the Prospectus, any Material Adverse Effect, or any development has occurred that is reasonably likely to have a Material Adverse Effect or in the sole judgment of Aegis makes it impractical or inadvisable to market the Placement Shares or to enforce contracts for the sale of the Placement Shares;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Aegis, impracticable or inadvisable to market the Placement Shares or to enforce contracts for the sale of the Placement Shares; (iii) if trading in the Ordinary Shares has been suspended or limited by the SEC or the Exchange, or if trading generally on the Exchange has been suspended or limited, or minimum prices for trading have been fixed on the Exchange; (iv) if any suspension of trading of any securities of the Company on any exchange or in the over-the-counter market will have occurred and be continuing; (v) if a major disruption of securities settlements or clearance services in the United States will have occurred and be continuing; or (vi) if a banking moratorium has been declared by either U.S. Federal or New York authorities. Any such termination will be without liability of any party to any other party except that the provisions of Section 9 (Expenses), Section 11 (Indemnification), Section 12 (Survival of Representations), Section 18 (Applicable Law; Waiver of Jury Trial), and Section 19 (Consent to Jurisdiction) hereof will remain in full force and effect notwithstanding such termination. If Aegis elects to terminate this Agreement as provided in this Section 13(a), Aegis will provide the required notice as specified in Section 14 (Notices).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The Company will have the right, by giving three (3) days’ notice as hereinafter specified to terminate this Agreement in its sole discretion at any time after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Aegis declines any commercially reasonable placement notice pursuant to Section 2 of this Agreement, then the Company will have the right to terminate this Agreement by giving written notice of termination to Aegis. Any such termination will be effective immediately upon a delivery of a termination notice by the Company to Aegis.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pursuant to Section 13(b) will be without liability of any party to any other party except that the provisions of Section 9, Section 11, Section 12, Section 18, and Section 19 hereof will remain in full force and effect notwithstanding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Aegis will have the right, by giving 3 days’ notice as hereinafter specified to terminate this Agreement in its sole discretion at any time after the date of this Agreement. Any such termination will be without liability of any party to any other party except that the provisions of Section 9, Section 11, Section 12, Section 18, and Section 19 hereof will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earlier terminated pursuant to this Section 13, this Agreement will automatically terminate upon the earlier to occur of: (i) the eighteen-month anniversary of the date hereof; or (ii) the issuance and sale of all of the Placement Shares through Aegis on the terms and subject to the conditions set forth herein, except that, in either such case, the provisions of Section 9, Section 11, Section 12, Section 18 and Section 19 hereof will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Agreement will remain in full force and effect unless terminated pursuant to Section 13(a), Section 13(b), Section 13(c)</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Section 13(d) above or otherwise by mutual agreement of the parties. Upon termination of this Agreement, the Company will not have any liability to Aegis for any discount, commission, or other compensation respecting any Placement Shares not otherwise sold by Aegis under this Agreement.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termination of this Agreement will be effective on the date specified in such notice of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termination will not be effective until the close of business on the date of receipt of such notice by Aegis or the Company, as the case may be. If such termination will occur prior to the Settlement Date for any sale of Placement Shares, such Placement Shares will settle in accordance with the provisions of this Agreement. Termination of this Agreement shall not affect the parties’ obligations under the underwriting agreement between the Company and Aegis dated May 23, 2022.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notices or other communications required or permitted to be given by any party to any other party pursuant to the terms of this Agreement will be in writing, unless otherwise specified, and if sent to Aegis, will be delivered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Capital Corp.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 27th Floor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10105</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Robert J. Eide, Chief Executive Officer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reide@aegiscap.com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Sichenzia Ross Ference Carmel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Avenue of the Americas, 31st Floor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Ross Carmel, Esq.</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rcarmel@srfc.law</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will be delivered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Technology Ltd.</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802, 803, No. 13 Hai’an Road, Tianhe District, Guangzhou, Guangdong Province,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Shaozhang Lin, CEO</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johnnylin@youxin.cloud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Kaufman &amp; Canoles, P.C.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James Center, 14th Floor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 E. Cary St.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Richmond, VA 23219</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Anthony W. Basch, Esq.</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awbasch@kaufcan.com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such notice or other communication will be deemed given: (i) when delivered personally on or before 4:30 p.m., New York City time, on a Business Day or, if such day is not a Business Day, on the next succeeding Business Day; or (ii) on the next Business Day after timely delivery to a nationally recognized overnight courier. For purposes of this Agreement, “</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will mean any day on which the Exchange and commercial banks in the City of New York are open for business.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electronic communication (“</w:t>
      </w:r>
      <w:r>
        <w:rPr>
          <w:rFonts w:ascii="Times New Roman;Times;Serif" w:hAnsi="Times New Roman;Times;Serif"/>
          <w:b/>
          <w:i/>
          <w:caps w:val="false"/>
          <w:smallCaps w:val="false"/>
          <w:sz w:val="20"/>
        </w:rPr>
        <w:t>Electronic Notice”</w:t>
      </w:r>
      <w:r>
        <w:rPr>
          <w:rFonts w:ascii="Times New Roman;Times;Serif" w:hAnsi="Times New Roman;Times;Serif"/>
          <w:b w:val="false"/>
          <w:i w:val="false"/>
          <w:caps w:val="false"/>
          <w:smallCaps w:val="false"/>
          <w:sz w:val="20"/>
        </w:rPr>
        <w:t>) will be deemed written notice for purposes of this Section 14 if sent to the electronic mail address specified by the receiving party under separate cover. Electronic Notice will be deemed received at the time the party sending Electronic Notice receives confirmation of receipt by the receiving party. Any party receiving Electronic Notice may request and will be entitled to receive the notice on paper, in a nonelectronic form (“</w:t>
      </w:r>
      <w:r>
        <w:rPr>
          <w:rFonts w:ascii="Times New Roman;Times;Serif" w:hAnsi="Times New Roman;Times;Serif"/>
          <w:b/>
          <w:i/>
          <w:caps w:val="false"/>
          <w:smallCaps w:val="false"/>
          <w:sz w:val="20"/>
        </w:rPr>
        <w:t>Nonelectronic Notice”</w:t>
      </w:r>
      <w:r>
        <w:rPr>
          <w:rFonts w:ascii="Times New Roman;Times;Serif" w:hAnsi="Times New Roman;Times;Serif"/>
          <w:b w:val="false"/>
          <w:i w:val="false"/>
          <w:caps w:val="false"/>
          <w:smallCaps w:val="false"/>
          <w:sz w:val="20"/>
        </w:rPr>
        <w:t>), which will be sent to the requesting party within 10 days of receipt of the written request for Nonelectronic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party to this Agreement may change such address for notices by sending to the parties to this Agreement written notice of a new address for such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will inure to the benefit of and be binding upon the Company and Aegis and their respective successors and the affiliates, controlling persons, partners, members, officers, directors, employees, and agents referred to in Section 11 hereof. References to any of the parties contained in this Agreement will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16. </w:t>
      </w:r>
      <w:r>
        <w:rPr>
          <w:rFonts w:ascii="Times New Roman;Times;Serif" w:hAnsi="Times New Roman;Times;Serif"/>
          <w:b w:val="false"/>
          <w:i w:val="false"/>
          <w:caps w:val="false"/>
          <w:smallCaps w:val="false"/>
          <w:sz w:val="20"/>
          <w:u w:val="single"/>
        </w:rPr>
        <w:t>Adjustments for Stock Splits</w:t>
      </w:r>
      <w:r>
        <w:rPr>
          <w:rFonts w:ascii="Times New Roman;Times;Serif" w:hAnsi="Times New Roman;Times;Serif"/>
          <w:b w:val="false"/>
          <w:i w:val="false"/>
          <w:caps w:val="false"/>
          <w:smallCaps w:val="false"/>
          <w:sz w:val="20"/>
        </w:rPr>
        <w:t>. The parties acknowledge and agree that all share-related numbers contained in this Agreement will be adjusted to take into account any share consolidation, stock split, stock dividend, corporate domestication or similar event effected respecting the Placement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17. </w:t>
      </w:r>
      <w:r>
        <w:rPr>
          <w:rFonts w:ascii="Times New Roman;Times;Serif" w:hAnsi="Times New Roman;Times;Serif"/>
          <w:b w:val="false"/>
          <w:i w:val="false"/>
          <w:caps w:val="false"/>
          <w:smallCaps w:val="false"/>
          <w:sz w:val="20"/>
          <w:u w:val="single"/>
        </w:rPr>
        <w:t>Entire Agreement; Amendment; Severability</w:t>
      </w:r>
      <w:r>
        <w:rPr>
          <w:rFonts w:ascii="Times New Roman;Times;Serif" w:hAnsi="Times New Roman;Times;Serif"/>
          <w:b w:val="false"/>
          <w:i w:val="false"/>
          <w:caps w:val="false"/>
          <w:smallCaps w:val="false"/>
          <w:sz w:val="20"/>
        </w:rPr>
        <w:t>. This Agreement (including all schedules and exhibits attached hereto and Placement Notices issued pursuant hereto), by and between the Company and Aegis constitutes the entire agreement of the parties respecting the subject matter hereof and thereof and supersedes all other prior and contemporaneous agreements and undertakings, both written and oral, among the parties hereto with regard to the subject matter hereof and thereof. Neither this Agreement nor any term hereof may be amended except pursuant to a written instrument executed by the Company and Aegis. In the event that any one or more of the provisions contained herein, or the application thereof in any circumstance, is held invalid, illegal, or unenforceable as written by a court of competent jurisdiction, then such provision will be given full force and effect to the fullest possible extent that it is valid, legal, and enforceable, and the remainder of the terms and provisions herein will be construed as if such invalid, illegal, or unenforceable term or provision was not contained herein, but only to the extent that giving effect to such provision and the remainder of the terms and provisions hereof will be in accordance with the intent of the parties as reflected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18. </w:t>
      </w:r>
      <w:r>
        <w:rPr>
          <w:rFonts w:ascii="Times New Roman;Times;Serif" w:hAnsi="Times New Roman;Times;Serif"/>
          <w:b/>
          <w:i w:val="false"/>
          <w:caps w:val="false"/>
          <w:smallCaps w:val="false"/>
          <w:sz w:val="20"/>
          <w:u w:val="single"/>
        </w:rPr>
        <w:t>APPLICABLE LAW; WAIVER OF JURY TRIAL</w:t>
      </w:r>
      <w:r>
        <w:rPr>
          <w:rFonts w:ascii="Times New Roman;Times;Serif" w:hAnsi="Times New Roman;Times;Serif"/>
          <w:b/>
          <w:i w:val="false"/>
          <w:caps w:val="false"/>
          <w:smallCaps w:val="false"/>
          <w:sz w:val="20"/>
        </w:rPr>
        <w:t>. THIS AGREEMENT WILL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19. </w:t>
      </w:r>
      <w:r>
        <w:rPr>
          <w:rFonts w:ascii="Times New Roman;Times;Serif" w:hAnsi="Times New Roman;Times;Serif"/>
          <w:b/>
          <w:i w:val="false"/>
          <w:caps w:val="false"/>
          <w:smallCaps w:val="false"/>
          <w:sz w:val="20"/>
          <w:u w:val="single"/>
        </w:rPr>
        <w:t>CONSENT TO JURISDICTION</w:t>
      </w:r>
      <w:r>
        <w:rPr>
          <w:rFonts w:ascii="Times New Roman;Times;Serif" w:hAnsi="Times New Roman;Times;Serif"/>
          <w:b/>
          <w:i w:val="false"/>
          <w:caps w:val="false"/>
          <w:smallCaps w:val="false"/>
          <w:sz w:val="20"/>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WILL CONSTITUTE GOOD AND SUFFICIENT SERVICE OF PROCESS AND NOTICE THEREOF. NOTHING CONTAINED HEREIN WILL BE DEEMED TO LIMIT IN ANY WAY ANY RIGHT TO SERVE PROCESS IN ANY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 </w:t>
      </w:r>
      <w:r>
        <w:rPr>
          <w:rFonts w:ascii="Times New Roman;Times;Serif" w:hAnsi="Times New Roman;Times;Serif"/>
          <w:b w:val="false"/>
          <w:i w:val="false"/>
          <w:caps w:val="false"/>
          <w:smallCaps w:val="false"/>
          <w:sz w:val="20"/>
          <w:u w:val="single"/>
        </w:rPr>
        <w:t>Use of Information</w:t>
      </w:r>
      <w:r>
        <w:rPr>
          <w:rFonts w:ascii="Times New Roman;Times;Serif" w:hAnsi="Times New Roman;Times;Serif"/>
          <w:b w:val="false"/>
          <w:i w:val="false"/>
          <w:caps w:val="false"/>
          <w:smallCaps w:val="false"/>
          <w:sz w:val="20"/>
        </w:rPr>
        <w:t>. Aegis may not use any information gained in connection with this Agreement and the transactions contemplated by this Agreement, including due diligence, for any purpose except in connection with entering into this Agreement and providing services as distribution agent hereunder, or to advise any party respecting transactions not expressly approved by the Company. Aegis acknowledges that any information gained in connection with this Agreement and the transactions contemplated by this Agreement are subject to confidentiality and other restrictions pursuant to the Confidentiality Agreement and agrees to abide by the terms of the Confidentiality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will be deemed an original, but all of which together will constitute one and the same instrument. Delivery of an executed Agreement by one party to the other may be made by facsimile transmission.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and exhibit headings herein are for convenience only and will not affect the construction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23. </w:t>
      </w:r>
      <w:r>
        <w:rPr>
          <w:rFonts w:ascii="Times New Roman;Times;Serif" w:hAnsi="Times New Roman;Times;Serif"/>
          <w:b w:val="false"/>
          <w:i w:val="false"/>
          <w:caps w:val="false"/>
          <w:smallCaps w:val="false"/>
          <w:sz w:val="20"/>
          <w:u w:val="single"/>
        </w:rPr>
        <w:t>Permitted Free Writing Prospectuses</w:t>
      </w:r>
      <w:r>
        <w:rPr>
          <w:rFonts w:ascii="Times New Roman;Times;Serif" w:hAnsi="Times New Roman;Times;Serif"/>
          <w:b w:val="false"/>
          <w:i w:val="false"/>
          <w:caps w:val="false"/>
          <w:smallCaps w:val="false"/>
          <w:sz w:val="20"/>
        </w:rPr>
        <w:t>. The Company represents, warrants, and agrees that, unless it obtains the prior consent of Aegis, and Aegis represents, warrants and agrees that, unless it obtains the prior consent of the Company, it has not made and will not make any offer relating to the Placement Shares that would constitute an Issuer Free Writing Prospectus, or that would otherwise constitute a “free writing prospectus,” as defined in Rule 405, required to be filed with the SEC. Any such free writing prospectus consented to by Aegis or by the Company, as the case may be, is hereinafter referred to as a “</w:t>
      </w:r>
      <w:r>
        <w:rPr>
          <w:rFonts w:ascii="Times New Roman;Times;Serif" w:hAnsi="Times New Roman;Times;Serif"/>
          <w:b/>
          <w:i/>
          <w:caps w:val="false"/>
          <w:smallCaps w:val="false"/>
          <w:sz w:val="20"/>
        </w:rPr>
        <w:t>Permitted Free Writing Prospectus.”</w:t>
      </w:r>
      <w:r>
        <w:rPr>
          <w:rFonts w:ascii="Times New Roman;Times;Serif" w:hAnsi="Times New Roman;Times;Serif"/>
          <w:b w:val="false"/>
          <w:i w:val="false"/>
          <w:caps w:val="false"/>
          <w:smallCaps w:val="false"/>
          <w:sz w:val="20"/>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SEC where required, legending, and recordkeeping. For the purposes of clarity, the parties hereto agree that all free writing prospectuses, if any, listed in Exhibit C hereto are Permitted Free Writing Prospectuses.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24.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 The Company acknowledges and agrees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Aegis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Aegis, on the other hand, has been or will be created in respect of any of the transactions contemplated by this Agreement, irrespective of whether or not Aegis has advised or is advising the Company on other matters, and Aegis has no obligation to the Company respecting the transactions contemplated by this Agreement except the obligations expressly set forth in this Agreement;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capable of evaluating and understanding, and understands and accepts, the terms, risks and conditions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Aegis has not provided any legal, accounting, regulatory or tax advice respecting the transactions contemplated by this Agreement and it has consulted its own legal, accounting, regulatory and tax advisors to the extent it has deemed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is aware that Aegis and its affiliates are engaged in a broad range of transactions that may involve interests that differ from those of the Company and Aegis has no obligation to disclose such interests and transactions to the Company by virtue of any fiduciary, advisory or agency relationship or otherwise; provided that Aegis hereby agrees not to engage in any such transaction that would cause its interests to be in direct conflict with the best interests of the Company;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waives, to the fullest extent permitted by law, any claims it may have against Aegis for breach of fiduciary duty or alleged breach of fiduciary duty in connection with the sale of Placement Shares under this Agreement and agrees that Aegis will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Aegis’s obligations under this Agreement and to keep information provided by the Company to Aegis and Aegis’s counsel confidential to the extent not otherwise publicly available.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25.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have the respective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Applicable Time”</w:t>
      </w:r>
      <w:r>
        <w:rPr>
          <w:rFonts w:ascii="Times New Roman;Times;Serif" w:hAnsi="Times New Roman;Times;Serif"/>
          <w:b w:val="false"/>
          <w:i w:val="false"/>
          <w:caps w:val="false"/>
          <w:smallCaps w:val="false"/>
          <w:sz w:val="20"/>
        </w:rPr>
        <w:t xml:space="preserve"> means: (i) each Representation Date; and (ii) the time of each sale of any Placement Shares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Issuer Free Writing Prospectus”</w:t>
      </w:r>
      <w:r>
        <w:rPr>
          <w:rFonts w:ascii="Times New Roman;Times;Serif" w:hAnsi="Times New Roman;Times;Serif"/>
          <w:b w:val="false"/>
          <w:i w:val="false"/>
          <w:caps w:val="false"/>
          <w:smallCaps w:val="false"/>
          <w:sz w:val="20"/>
        </w:rPr>
        <w:t xml:space="preserve"> means any “issuer free writing prospectus,” as defined in Rule 433, relating to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Rule 164,” “Rule 172,” “Rule 405,” “Rule 415,” “Rule 424,” “Rule 424(b),” “Rule 430A,” “Rule 430B,”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Rule 433”</w:t>
      </w:r>
      <w:r>
        <w:rPr>
          <w:rFonts w:ascii="Times New Roman;Times;Serif" w:hAnsi="Times New Roman;Times;Serif"/>
          <w:b w:val="false"/>
          <w:i w:val="false"/>
          <w:caps w:val="false"/>
          <w:smallCaps w:val="false"/>
          <w:sz w:val="20"/>
        </w:rPr>
        <w:t xml:space="preserve"> refer to such rules under the Securities Act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references in this Agreement to financial statements and schedules and other information that is “contained,” “included,” or “stated” in the Registration Statement or the Prospectus (and all other references of like import) will be deemed to mean and include all such financial statements and schedules and other information that is incorporated by reference in the Registration Statement or the Prospectus,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references in this Agreement to the Registration Statement, the Prospectus or any amendment or supplement to any of the foregoing will be deemed to include the copy filed with the SEC pursuant to EDGAR; all references in this Agreement to any Issuer Free Writing Prospectus (other than any Issuer Free Writing Prospectuses that, pursuant to Rule 433, are not required to be filed with the SEC) will be deemed to include the copy thereof filed with the SEC pursuant to EDGAR; and all references in this Agreement to “supplements” to the Prospectus will include any supplements, “wrappers,” or similar materials prepared in connection with any offering, sale, or private placement of any Placement Shares by Aegis outside of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[Youxin Technology Ltd. – </w:t>
      </w:r>
      <w:r>
        <w:rPr>
          <w:rFonts w:ascii="Times New Roman;Times;Serif" w:hAnsi="Times New Roman;Times;Serif"/>
          <w:b w:val="false"/>
          <w:i/>
          <w:caps w:val="false"/>
          <w:smallCaps w:val="false"/>
          <w:sz w:val="20"/>
        </w:rPr>
        <w:t>ATM Sales Agreement Signature Page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Aegis, please so indicate in the space provided below for that purpose, whereupon this letter will constitute a binding agreement between the Company and Aegis.</w:t>
      </w:r>
    </w:p>
    <w:p>
      <w:pPr>
        <w:pStyle w:val="TextBody"/>
        <w:bidi w:val="0"/>
        <w:spacing w:before="0" w:after="0"/>
        <w:ind w:left="0" w:right="0" w:hanging="0"/>
        <w:jc w:val="both"/>
        <w:rPr>
          <w:caps w:val="false"/>
          <w:smallCaps w:val="false"/>
        </w:rPr>
      </w:pPr>
      <w:r>
        <w:rPr>
          <w:caps w:val="false"/>
          <w:smallCaps w:val="false"/>
        </w:rPr>
        <w:t> </w:t>
      </w:r>
    </w:p>
    <w:tbl>
      <w:tblPr>
        <w:tblW w:w="2824" w:type="dxa"/>
        <w:jc w:val="left"/>
        <w:tblInd w:w="0" w:type="dxa"/>
        <w:tblLayout w:type="fixed"/>
        <w:tblCellMar>
          <w:top w:w="0" w:type="dxa"/>
          <w:left w:w="0" w:type="dxa"/>
          <w:bottom w:w="0" w:type="dxa"/>
          <w:right w:w="0" w:type="dxa"/>
        </w:tblCellMar>
      </w:tblPr>
      <w:tblGrid>
        <w:gridCol w:w="75"/>
        <w:gridCol w:w="599"/>
        <w:gridCol w:w="2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9" w:type="dxa"/>
            <w:tcBorders/>
            <w:vAlign w:val="center"/>
          </w:tcPr>
          <w:p>
            <w:pPr>
              <w:pStyle w:val="TableContents"/>
              <w:bidi w:val="0"/>
              <w:spacing w:before="0" w:after="283"/>
              <w:jc w:val="left"/>
              <w:rPr>
                <w:caps w:val="false"/>
                <w:smallCaps w:val="false"/>
              </w:rPr>
            </w:pPr>
            <w:r>
              <w:rPr>
                <w:caps w:val="false"/>
                <w:smallCaps w:val="false"/>
              </w:rPr>
              <w:t> </w:t>
            </w:r>
          </w:p>
        </w:tc>
        <w:tc>
          <w:tcPr>
            <w:tcW w:w="21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Shaozhang Lin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first-above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AEGIS CAPITAL CORP.</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Eide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PLACEMENT NOTICE</w:t>
      </w:r>
    </w:p>
    <w:p>
      <w:pPr>
        <w:pStyle w:val="TextBody"/>
        <w:bidi w:val="0"/>
        <w:spacing w:before="0" w:after="0"/>
        <w:ind w:left="0" w:right="0" w:hanging="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tbl>
      <w:tblPr>
        <w:tblW w:w="4314" w:type="dxa"/>
        <w:jc w:val="left"/>
        <w:tblInd w:w="0" w:type="dxa"/>
        <w:tblLayout w:type="fixed"/>
        <w:tblCellMar>
          <w:top w:w="0" w:type="dxa"/>
          <w:left w:w="0" w:type="dxa"/>
          <w:bottom w:w="0" w:type="dxa"/>
          <w:right w:w="0" w:type="dxa"/>
        </w:tblCellMar>
      </w:tblPr>
      <w:tblGrid>
        <w:gridCol w:w="710"/>
        <w:gridCol w:w="3508"/>
        <w:gridCol w:w="96"/>
      </w:tblGrid>
      <w:tr>
        <w:trPr/>
        <w:tc>
          <w:tcPr>
            <w:tcW w:w="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w:t>
            </w:r>
          </w:p>
        </w:tc>
        <w:tc>
          <w:tcPr>
            <w:tcW w:w="350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tc>
        <w:tc>
          <w:tcPr>
            <w:tcW w:w="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10" w:type="dxa"/>
            <w:tcBorders/>
            <w:vAlign w:val="center"/>
          </w:tcPr>
          <w:p>
            <w:pPr>
              <w:pStyle w:val="TableContents"/>
              <w:bidi w:val="0"/>
              <w:spacing w:before="0" w:after="283"/>
              <w:jc w:val="left"/>
              <w:rPr>
                <w:caps w:val="false"/>
                <w:smallCaps w:val="false"/>
              </w:rPr>
            </w:pPr>
            <w:r>
              <w:rPr>
                <w:caps w:val="false"/>
                <w:smallCaps w:val="false"/>
              </w:rPr>
              <w:t> </w:t>
            </w:r>
          </w:p>
        </w:tc>
        <w:tc>
          <w:tcPr>
            <w:tcW w:w="3508" w:type="dxa"/>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35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Capital Corp.</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0" w:type="dxa"/>
            <w:tcBorders/>
            <w:vAlign w:val="center"/>
          </w:tcPr>
          <w:p>
            <w:pPr>
              <w:pStyle w:val="TableContents"/>
              <w:bidi w:val="0"/>
              <w:spacing w:before="0" w:after="283"/>
              <w:jc w:val="left"/>
              <w:rPr>
                <w:caps w:val="false"/>
                <w:smallCaps w:val="false"/>
              </w:rPr>
            </w:pPr>
            <w:r>
              <w:rPr>
                <w:caps w:val="false"/>
                <w:smallCaps w:val="false"/>
              </w:rPr>
              <w:t> </w:t>
            </w:r>
          </w:p>
        </w:tc>
        <w:tc>
          <w:tcPr>
            <w:tcW w:w="35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Robert Eide</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0" w:type="dxa"/>
            <w:tcBorders/>
            <w:vAlign w:val="center"/>
          </w:tcPr>
          <w:p>
            <w:pPr>
              <w:pStyle w:val="TableContents"/>
              <w:bidi w:val="0"/>
              <w:spacing w:before="0" w:after="283"/>
              <w:jc w:val="both"/>
              <w:rPr>
                <w:caps w:val="false"/>
                <w:smallCaps w:val="false"/>
              </w:rPr>
            </w:pPr>
            <w:r>
              <w:rPr>
                <w:caps w:val="false"/>
                <w:smallCaps w:val="false"/>
              </w:rPr>
              <w:t> </w:t>
            </w:r>
          </w:p>
        </w:tc>
        <w:tc>
          <w:tcPr>
            <w:tcW w:w="3508" w:type="dxa"/>
            <w:tcBorders/>
            <w:vAlign w:val="center"/>
          </w:tcPr>
          <w:p>
            <w:pPr>
              <w:pStyle w:val="TableContents"/>
              <w:bidi w:val="0"/>
              <w:spacing w:before="0" w:after="283"/>
              <w:jc w:val="both"/>
              <w:rPr>
                <w:caps w:val="false"/>
                <w:smallCaps w:val="false"/>
              </w:rPr>
            </w:pPr>
            <w:r>
              <w:rPr>
                <w:caps w:val="false"/>
                <w:smallCaps w:val="false"/>
              </w:rPr>
              <w:t> </w:t>
            </w:r>
          </w:p>
        </w:tc>
        <w:tc>
          <w:tcPr>
            <w:tcW w:w="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w:t>
            </w:r>
          </w:p>
        </w:tc>
        <w:tc>
          <w:tcPr>
            <w:tcW w:w="36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At-The-Market Issuance—Placement 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At-The-Market Issuance Sales Agreement between Youxin Technology Ltd, a Cayman Islands exempted company with limited liability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Aegis Capital Corp. (“</w:t>
      </w:r>
      <w:r>
        <w:rPr>
          <w:rFonts w:ascii="Times New Roman;Times;Serif" w:hAnsi="Times New Roman;Times;Serif"/>
          <w:b w:val="false"/>
          <w:i w:val="false"/>
          <w:caps w:val="false"/>
          <w:smallCaps w:val="false"/>
          <w:sz w:val="20"/>
          <w:u w:val="single"/>
        </w:rPr>
        <w:t>Aegis</w:t>
      </w:r>
      <w:r>
        <w:rPr>
          <w:rFonts w:ascii="Times New Roman;Times;Serif" w:hAnsi="Times New Roman;Times;Serif"/>
          <w:b w:val="false"/>
          <w:i w:val="false"/>
          <w:caps w:val="false"/>
          <w:smallCaps w:val="false"/>
          <w:sz w:val="20"/>
        </w:rPr>
        <w:t>”), dated June 25, 2026, the Company hereby requests that Aegis sell up to [●] Class A Ordinary Shares of the Company, $0.008 par value, at a minimum market price of $[●] per share, during the period beginning [month, day, time] and ending [month, day, time].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to Aegis in cash, upon each sale of Placement Shares pursuant to this Agreement, an amount equal to three percent (3.0%) of the gross proceeds from each sale of Placement Shares.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Shaozhang Lin,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Robert Eide, Chief Executive Officer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4</w:t>
      </w:r>
    </w:p>
    <w:p>
      <w:pPr>
        <w:pStyle w:val="TextBody"/>
        <w:bidi w:val="0"/>
        <w:spacing w:before="0" w:after="0"/>
        <w:ind w:left="0" w:right="0" w:hanging="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Cloud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Cloud (HK)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Youxin Mutual Enterprise Management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Celnet Technology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Youxin Technology Co., Ltd.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Representation Date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the duly qualified and elected [●], of Youxin Technology Ltd, a Cayman Islands exempted company with limited liability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does hereby certify in such capacity and on behalf of the Company,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of the At-The-Market Issuance Sales Agreement, dated June 25, 2026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by and between the Company and Aegis Capital Corp., that to the best of the knowledge of the undersigned: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of the representations and warranties of the Company contained in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so true and correct as of such date;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Each of the covenants required to be performed by the Company in the Agreement on or prior to the date of the Agreement, this Representation Date, and each such other date as set forth in the Agreement, has been duly, timely and fully performed in all material respects and each condition required to be complied with by the Company on or prior to the date of the Agreement, this Representation Date, and each such other date as set forth in the Agreement has been duly, timely and fully complied with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Subsequent to the date of the most recent financial statements incorporated by reference into the Prospectus, there has been no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stop order suspending the effectiveness of the Registration Statement or of any part thereof has been issued, and no proceedings for that purpose have been instituted or are pending or threatened by any securities or other governmental authority (including, without limitation,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Kaufman &amp; Canoles P.C is entitled to rely on this certificate in connection with the opinions such firm may render pursuant to the Agreement. Capitalized terms used herein without definition shall have the meanings given to such terms in the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75"/>
        <w:gridCol w:w="995"/>
        <w:gridCol w:w="154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3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TECHNOLOGY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both"/>
              <w:rPr>
                <w:caps w:val="false"/>
                <w:smallCaps w:val="false"/>
              </w:rPr>
            </w:pPr>
            <w:r>
              <w:rPr>
                <w:caps w:val="false"/>
                <w:smallCaps w:val="false"/>
              </w:rPr>
              <w:t> </w:t>
            </w:r>
          </w:p>
        </w:tc>
        <w:tc>
          <w:tcPr>
            <w:tcW w:w="154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54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54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54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15" w:right="0" w:hanging="2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w:t>
        <w:br/>
        <w:t>Chief Financial Officer</w:t>
      </w:r>
    </w:p>
    <w:p>
      <w:pPr>
        <w:pStyle w:val="TextBody"/>
        <w:bidi w:val="0"/>
        <w:spacing w:before="0" w:after="0"/>
        <w:ind w:left="115" w:right="0" w:hanging="25"/>
        <w:jc w:val="center"/>
        <w:rPr>
          <w:caps w:val="false"/>
          <w:smallCaps w:val="false"/>
        </w:rPr>
      </w:pPr>
      <w:r>
        <w:rPr>
          <w:caps w:val="false"/>
          <w:smallCaps w:val="false"/>
        </w:rPr>
        <w:t> </w:t>
      </w:r>
    </w:p>
    <w:p>
      <w:pPr>
        <w:pStyle w:val="TextBody"/>
        <w:bidi w:val="0"/>
        <w:spacing w:before="0" w:after="0"/>
        <w:ind w:left="115" w:right="0" w:hanging="2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25, 2026</w:t>
      </w:r>
    </w:p>
    <w:p>
      <w:pPr>
        <w:pStyle w:val="TextBody"/>
        <w:bidi w:val="0"/>
        <w:spacing w:before="0" w:after="0"/>
        <w:ind w:left="115" w:right="0" w:hanging="25"/>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that certain At-The-Market Issuance Sales Agreement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June 25, 2026 by and between Youxin Technology Ltd, a Cayman Islands exempted company with limited liability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Aegis Capital Corp. (“</w:t>
      </w:r>
      <w:r>
        <w:rPr>
          <w:rFonts w:ascii="Times New Roman;Times;Serif" w:hAnsi="Times New Roman;Times;Serif"/>
          <w:b/>
          <w:i/>
          <w:caps w:val="false"/>
          <w:smallCaps w:val="false"/>
          <w:sz w:val="20"/>
        </w:rPr>
        <w:t>Aegis”</w:t>
      </w:r>
      <w:r>
        <w:rPr>
          <w:rFonts w:ascii="Times New Roman;Times;Serif" w:hAnsi="Times New Roman;Times;Serif"/>
          <w:b w:val="false"/>
          <w:i w:val="false"/>
          <w:caps w:val="false"/>
          <w:smallCaps w:val="false"/>
          <w:sz w:val="20"/>
        </w:rPr>
        <w:t>), [●] in his/her capacity as Chief Financial Officer of the Company, hereby certifies that (capitalized terms used and not defined herein have the meanings ascribed to them in the Agreement):</w:t>
      </w:r>
    </w:p>
    <w:p>
      <w:pPr>
        <w:pStyle w:val="TextBody"/>
        <w:bidi w:val="0"/>
        <w:spacing w:before="0" w:after="0"/>
        <w:ind w:left="115" w:right="0" w:firstLine="73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read the amounts circled on the copies of certain pages of the Company’s Report on Form 6-K, attached hereto as Exhibit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regard to these amounts, I compared such amounts to the corresponding amounts included in or derived from the Company’s internal accounting records or schedules prepared by management from such accounting records for the applicable periods and found them to be in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These amounts are accurate in all material respects, and nothing has come to my attention that would cause me to believe that these amounts have been materially misstated or are materially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certificate is being furnished to Aegis solely to assist them in conducting and documenting its investigation of the affairs of the Company in connection with the offering of the Placement Shares covered by the Registration Statement and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490"/>
        <w:jc w:val="center"/>
        <w:rPr>
          <w:caps w:val="false"/>
          <w:smallCaps w:val="false"/>
        </w:rPr>
      </w:pPr>
      <w:r>
        <w:rPr>
          <w:caps w:val="false"/>
          <w:smallCaps w:val="false"/>
        </w:rPr>
        <w:t> </w:t>
      </w:r>
    </w:p>
    <w:tbl>
      <w:tblPr>
        <w:tblW w:w="2659" w:type="dxa"/>
        <w:jc w:val="left"/>
        <w:tblInd w:w="0" w:type="dxa"/>
        <w:tblLayout w:type="fixed"/>
        <w:tblCellMar>
          <w:top w:w="0" w:type="dxa"/>
          <w:left w:w="0" w:type="dxa"/>
          <w:bottom w:w="0" w:type="dxa"/>
          <w:right w:w="0" w:type="dxa"/>
        </w:tblCellMar>
      </w:tblPr>
      <w:tblGrid>
        <w:gridCol w:w="75"/>
        <w:gridCol w:w="602"/>
        <w:gridCol w:w="198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8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TECHNOLOGY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both"/>
              <w:rPr>
                <w:caps w:val="false"/>
                <w:smallCaps w:val="false"/>
              </w:rPr>
            </w:pPr>
            <w:r>
              <w:rPr>
                <w:caps w:val="false"/>
                <w:smallCaps w:val="false"/>
              </w:rPr>
              <w:t> </w:t>
            </w:r>
          </w:p>
        </w:tc>
        <w:tc>
          <w:tcPr>
            <w:tcW w:w="19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8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8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Permitted Free Writing Prospectuses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24705</Words>
  <Characters>129721</Characters>
  <CharactersWithSpaces>154446</CharactersWithSpaces>
  <Paragraphs>1025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