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ilename1.htm"/>
      <w:bookmarkStart w:id="1" w:name="ksfilename1"/>
      <w:bookmarkEnd w:id="0"/>
      <w:bookmarkEnd w:id="1"/>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1005, 1006, 1007, No. 122 Huangpu Avenue West,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Tianhe District, Guangzhou, Guangdong Province ♦ People’s Republic of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VIA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Marion Graham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35"/>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88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 (CIK: 0001964946)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No. 1 to Registration Statement No. 333-296161 on Form F-3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Graham: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461 of the General Rules and Regulations of the U.S. Securities and Exchange Commission under the Securities Act of 1933, as amended (the “Securities Act”), Youxin Technology Ltd hereby requests acceleration of the effective date of the above-referenced Registration Statement so that it will become effective at 4:00 p.m. Eastern Time, June 18, 2026, or as soon thereafter as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feel free to direct any questions or comments concerning this request to our U.S. legal counsel, Anthony W. Basch of Kaufman &amp; Canoles, P.C.</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5"/>
        <w:gridCol w:w="203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Youxin Technology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Shaozhang Lin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Shaozhang Lin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Words>
  <Characters>964</Characters>
  <CharactersWithSpaces>1140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