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333-295763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11,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YOUXIN TECHNOLOGY LTD.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$6,355,771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0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an At-The-Market Issuance Sales Agreement (the “Sales Agreement”) with Aegis Capital Corp. (“Aegis” or the “Sales Agent”), dated June 25, 2026, relating to the sale of our Class A ordinary shares, par value $0.008 per share (“Class A Ordinary Shares”), offered by this prospectus supplement and the accompanying prospectus. In accordance with the terms of the Sales Agreement, we may offer and sell our Class A Ordinary Shares, having an aggregate offering price of up to $100,000,000 from time to time through or to Aegis as sales agent or principal. However, due to the offering limitations applicable to us under General Instruction I.B.5. of Form F -3 and our public float calculated in accordance therewith as of the date of this prospectus supplement, and in accordance with the terms of the sales agreement, we are offering shares of our Class A Ordinary Shares having an aggregate gross sales price of up to $6,355,771 pursuant to this prospectus supplement and the accompanying prospectus. If our public float increases such that we may sell additional amounts under the sales agreement and the registration statement of which this prospectus supplement and the accompanying prospectus are a part, we will file another prospectus supplement prior to making additional sales.</w:t>
      </w:r>
    </w:p>
    <w:p>
      <w:pPr>
        <w:spacing w:after="0" w:line="18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Class A Ordinary Shares, if any, under this prospectus supplement may be made in sales deemed to be “at-the-market offerings” (the “ATM Offering(s)”) as defined in Rule 415 promulgated under the Securities Act of 1933, as amended (the “Securities Act”). The Sales Agent is not required to sell any specific number or dollar amount of securities, but will act as a sales agent using commercially reasonable efforts consistent with its normal trading and sales practices, on mutually agreed terms between the Sales Agent and us. There is no arrangement for funds to be received in any escrow, trust or similar arrangement.</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Sales Agent will be entitled to compensation at a commission rate of 3.0% of the gross proceeds of each sale of the registered Class A Ordinary Shares pursuant to the terms of the Sales Agreement. See “Plan of Distribution” beginning on page S-12 for additional information regarding the compensation to be paid to the Sales Agent in connection with the sale of the Class A Ordinary Shares on our behalf. The Sales Agent will be deemed to be an “underwriter” within the meaning of the Securities Act, and the compensation of the Sales Agent will be deemed to be underwriting commissions or discounts. We also have agreed to provide indemnification and contribution to the Sales Agent with respect to certain liabilities, including liabilities under the Securities Act or the Securities Exchange Act of 1934, as amended (the “Exchange Act”).</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the Nasdaq Capital Market under the symbol “YAAS.” On June 25, 2026, the closing price of the Class A Ordinary Shares on the Nasdaq Capital Market was $0.8081 per share.</w:t>
      </w:r>
    </w:p>
    <w:p>
      <w:pPr>
        <w:spacing w:after="0" w:line="16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outstanding voting and non-voting common equities held by non-affiliates was approximately $19,067,312 which was calculated based on 8,218,669 Class A Ordinary Shares held by non-affiliates multiplies by a price per share of $2.32, the closing price of our Class A Ordinary Shares on April 27, 2026. Pursuant to General Instruction I.B.5 of Form F-3, in no event will we sell shares of our Class A Ordinary Shares pursuant to this prospectus supplement with a value of more than one-third of the aggregate market value of our Class A Ordinary Shares held by non-affiliates, or $6,355,771, in any 12 month period, so long as the aggregate market value of our outstanding Class A Ordinary Shares held by non-affiliates remains below $75 million. During the 12 calendar months prior to and including the date of this prospectus supplement, we have not offered or sold any securities pursuant to General Instruction I.B.5 of Form F-3.</w:t>
      </w:r>
    </w:p>
    <w:p>
      <w:pPr>
        <w:spacing w:after="0" w:line="18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Class A Ordinary Shares involves risk. See “Risk Factors” beginning on page S-7 of this prospectus supplement and in the documents incorporated by reference into this prospectus supplement and the accompanying prospectus for a discussion of information that should be considered in connection with an investment in the Class A Ordinary Shares.</w:t>
      </w:r>
    </w:p>
    <w:p>
      <w:pPr>
        <w:spacing w:after="0" w:line="171"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or other foreign securities commission has approved or disapproved of these securities or determined if this prospectus supplement is truthful or complete. Any representation to the contrary is a criminal offense.</w:t>
      </w:r>
    </w:p>
    <w:p>
      <w:pPr>
        <w:spacing w:after="0" w:line="159"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no material operations of our own and we are not a Chinese operating company. Our operations are conducted in China through our wholly owned indirect PRC subsidiary, Guangzhou Youxin Technology Co., Ltd. (“</w:t>
      </w:r>
      <w:r>
        <w:rPr>
          <w:rFonts w:ascii="Times New Roman" w:cs="Times New Roman" w:eastAsia="Times New Roman" w:hAnsi="Times New Roman"/>
          <w:sz w:val="18"/>
          <w:szCs w:val="18"/>
          <w:b w:val="1"/>
          <w:bCs w:val="1"/>
          <w:color w:val="auto"/>
        </w:rPr>
        <w:t>Guangzhou Youxin</w:t>
      </w:r>
      <w:r>
        <w:rPr>
          <w:rFonts w:ascii="Times New Roman" w:cs="Times New Roman" w:eastAsia="Times New Roman" w:hAnsi="Times New Roman"/>
          <w:sz w:val="18"/>
          <w:szCs w:val="18"/>
          <w:color w:val="auto"/>
        </w:rPr>
        <w:t>”). The securities being offered hereunder are those of the offshore holding company in the Cayman Islands, instead of securities of the operating entity in China. Therefore, you will not directly hold any equity interests in the operating entity. We are subject to certain legal and operational risks associated with the business operations of Guangzhou Youxin in China and the Chinese regulatory authorities could disallow our corporate structure, which could cause the value of our securities to significantly decline or become worthless. For more details, see “Risk Factors—Risks Related to Doing Business in China—PRC laws and regulations governing our current business operations are sometimes vague and uncertain and any changes in such laws and regulations may impair our ability to operate profitably.” “—The CSRC may exert more oversight and control over offerings that are conducted overseas and in foreign investment in China-based issuers, especially those in the technology field.” and “—PRC laws and regulations establish more complex procedures for some acquisitions of PRC companies by foreign investors, which could make it difficult for us to pursue growth through acquisitions in China.” in our prospectus on the Form F-3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11, 2026, which are incorporated herein by reference of this prospectus. Additional compliance procedures may be required in connection with this offering. As a result, we face uncertainty about future actions by the PRC government that could significantly affect our ability to offer or continue to offer securities to investors and cause the value of our securities to significantly decline or be worthless. Applicable PRC laws and regulations governing such current business operations are sometimes vague and uncertain, and as a result, these risks may result in material changes in the operations of Guangzhou Youxin, significant depreciation or a complete loss of the value of our Class A Ordinary Shares, or a complete hindrance of our ability to offer, or continue to offer, our securities to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119" w:gutter="0" w:footer="0" w:header="0"/>
        </w:sectPr>
      </w:pPr>
    </w:p>
    <w:bookmarkStart w:id="1" w:name="page2"/>
    <w:bookmarkEnd w:id="1"/>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which could impact our ability to conduct our business, accept foreign investments, or list on a U.S. or other foreign exchange. On October 29, 2021, the Cyberspace Administration of China (“CAC”) published the Draft Outbound Data Transfer Security Assessment Measures (the “Draft Outbound Data Transfer Security Assessment Measures”). On July 7, 2022, the Outbound Data Transfer Security Assessment Measures (the “Outbound Data Transfer Security Assessment Measures”) formally promulgated, which became effective from September 1, 2022. The Outbound Data Transfer Security Assessment Measures stipulates the circumstances under which security assessment of outbound data transfers should be declared, including: (i) outbound transfer of important data, which means any data, the tampering, damage, leakage, or illegal acquisition or use of which, if it happens, may endanger national security, the operation of the economy, social stability, public health and security,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w:t>
      </w:r>
    </w:p>
    <w:p>
      <w:pPr>
        <w:spacing w:after="0" w:line="11" w:lineRule="exact"/>
        <w:rPr>
          <w:sz w:val="20"/>
          <w:szCs w:val="20"/>
          <w:color w:val="auto"/>
        </w:rPr>
      </w:pPr>
    </w:p>
    <w:p>
      <w:pPr>
        <w:jc w:val="both"/>
        <w:ind w:firstLine="8"/>
        <w:spacing w:after="0" w:line="251" w:lineRule="auto"/>
        <w:tabs>
          <w:tab w:leader="none" w:pos="3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circumstances where an application for the security assessment of an outbound data transfer is required as prescribed by the national cyberspace administration authority. On December 28, 2021, the Measures for Cybersecurity Review (2021 version) was promulgated and became effective on February 15, 2022, which iterates that any “online platform operators” controlling personal information of more than one million users which seeks to list in a foreign stock exchange should apply for cybersecurity review. We are not in possession of personal information of over one million users and we do not expect to have personal information of more than one million users prior to this offering. In view of the above, and based on the advice of our PRC legal counsel, Jingtian &amp; Gongcheng, we believe that we are not subject to the cybersecurity review application requirements for this offering under the Measures for Cybersecurity Review (2021 version). As of the date of this prospectus, we have not been involved in any investigations on cybersecurity review initiated by the CAC, and we have not received any warning, sanction or penalty in such respect. However, since the Measures for Cybersecurity Review (2021 version) was recently adopted and there are currently no detailed interpretation or implementing rules regarding its application thereof, we could be subject to cybersecurity review, and if so, there is no assurance that we would be able to pass such review in relation to this offering in a timely manner or at all. In addition, we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us, which may have material adverse effect on our business, financial condition or results of operations. See “Risk Factors – Risks Related to Doing Business in China – </w:t>
      </w:r>
      <w:r>
        <w:rPr>
          <w:rFonts w:ascii="Times New Roman" w:cs="Times New Roman" w:eastAsia="Times New Roman" w:hAnsi="Times New Roman"/>
          <w:sz w:val="18"/>
          <w:szCs w:val="18"/>
          <w:i w:val="1"/>
          <w:iCs w:val="1"/>
          <w:color w:val="auto"/>
        </w:rPr>
        <w:t>We face challenges from the evolving regulatory environment and user attitude toward 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protection. Actual or alleged failure to comply with data privacy and protection laws and regulations could materially and adversely affect our business and results of operations” incorporated herein by reference on page 29 of this prospectus.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Anti-Monopoly Law of the People’s Republic of China, which took effect in 2008 and was amended on June 24, 2022, which amendment became effective August 1, 2022 (the “Anti-Monopoly Law”), established additional procedures and requirements with respect to merger and acquisition activities by foreign investors. Under the Anti-Monopoly Law, companies undertaking acquisitions relating to businesses in China must notify the State Council’s anti-monopoly law enforcement authority, in advance of any transaction where the parties’ revenue in the China market exceed certain thresholds and the buyer would obtain control of, or decisive influence over, the target. We also have not implemented monopolistic behaviors including monopoly agreements, abuse of a dominant position and concentration of undertakings that may have the effect to eliminate or restrict competition in the field of platform economy. However, we anticipate the market in which we operate may undergo consolidation in future, and we intend to compete effectively in such an environment while remaining in compliance with applicable anti-monopoly laws and regulations. As of the date of this prospectus, we have not been involved in any investigations on anti-monopoly initiated by the related governmental regulatory authorities, and we have not received any inquiry, notice, warning, or sanction in such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Pursuant to the Trial Administrative Measures, if the issuer meets both the following criteria, the overseas securities offering and listing conducted by such issuer is deemed an indirect overseas offering by PRC domestic companies: (i) 50% or more of any of the issuer’s operating revenue, total profit, total assets or net assets as documented in its audited consolidated financial statements for the most recent fiscal year is attributed to PRC domestic companies; and (ii) the main parts of the issuer’s business activities are conducted in the PRC, or its main business place(s)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PRC domestic companies under the Trial Administrative Measures and we are therefore subject to the filing requirements for this offering thereunder. New Administrative Rules Regarding Overseas Listings also provide that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We submitted the filing materials to the CSRC in connection with our initial public offering pursuant to the Trial Administrative Measures on June 7, 2023, and on February 7, 2024, we received from the CSRC a filing notice which indicated that we had completed the required filing application procedures for our initial public offering. For this offering, we are required to submit a filing with the CSRC within three business days after the completion of an offering made pursuant to this prospectus and may be subject to the filing requirements under the New Administrative Rules Regarding Overseas Listings for our future offerings and listing of our securities in an overseas market under the New Administrative Rules Regarding Overseas Listings. Also on March 31, 2023, the Provisions on Strengthening Confidentiality and Archives Administration of Overseas Securities Offering and Listing by Domestic Companies (the “Confidentiality and Archives Administration Provisions”) promulgated by the CSRC and other three government authorities became effective. According to the Confidentiality and Archives Administration Provisions, domestic companies that seek overseas offering and listing (either in direct or indirect means), the securities companies and securities service (either incorporated domestically or overseas) providers that undertake relevant businesses shall not leak any state secret or working secret of government agencies, or harm national security and public interests.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We believe that this offering does not involve the leaking of any state secret or working secret of government agencies, or the harming of national security and public interests. However, we may be required to perform additional procedures in connection with the provision of accounting archives. Since the New Administrative Rules Regarding Overseas Listings are newly promulgated, and there is currently no detailed interpretation and implementation in all aspects thereof, we cannot assure you that we will be able to complete the relevant filings in a timely manner or fulfil all the regulatory requirements thereunder. Any failure of us to fully comply with new regulatory requirements may significantly limit or completely hinder our ability to offer or continue to offer our ordinary shares. Furthermore, the Ministry of Commerce (“MOFCOM”) and the National Development and Reform Commission (“NDRC”) promulgated the Special Administrative Measures for Access of Foreign Investment (2024 Edition), or the Negative List (2024) which replaced the Special Administrative Measures for Access of Foreign Investment (2021 Edition), or the Negative List (2021). Both Negative List (2024) and Negative List (2021) stipulate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As of the date of this prospectus, we are not engaged in business classified as a prohibited investment field under the Negative List (2024), and we also have not been involved in any investigations initiated by the above applicable governmental regulatory authorities, nor have we received any inquiry, notice, warning, or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Our ordinary shares may be prohibited from trading on a national exchange or in the “over-the-counter” markets in the United States under the Holding Foreign Companies Accountable Act (the “HFCA Act”) if the Public Company Accounting Oversight Board (“PCAOB”) is unable to inspect our auditors for three consecutive years beginning in 2021. Furthermore, on June 22, 2021, the U.S. Senate passed the Accelerating Holding Foreign Companies Accountable Act (“AHFCAA”) and the U.S. House of Representatives introduced the AHFCAA on December 14, 2021, referring it to the House Committee on Financial Services. Pursuant to the HFCA Act, the PCAOB issued a Determination Report on December 16, 2021, which found that the PCAOB is unable to inspect or investigate completely registered public accounting firms headquartered in: (1) Mainland China, and (2) Hong Kong. In addition, the PCAOB’s report identified the specific registered public accounting firms which are subject to these determinations.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On December 15, 2022, the PCAOB Board determined that the PCAOB was able to secure complete access to inspect and investigate registered public accounting firms headquartered in Mainland China and Hong Kong and voted to vacate its previous determinations to the contrary. On December 29, 2022, the Accelerating Holding Foreign Companies Accountable Act was signed into law as part of the “Consolidated Appropriations Act, 2023” (the “Consolidated Appropriations Act”), reducing the number of consecutive non-inspection years required for triggering the prohibitions under the HFCA Act from three years to two. However, should PRC authorities obstruct or otherwise fail to facilitate PCAOB’s access in the future, the PCAOB Board will consider the need to issue a new determination. These developments could add uncertainties to our offering.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auditor is currently subject to PCAOB inspections and the PCAOB is able to inspect our auditor. Our auditor, Marcum Asia CPAs LLP, is headquartered in New York City, New York, and has been inspected by the PCAOB on a regular basis. Our auditor is not headquartered in Mainland China or Hong Kong. Marcum Asia was not subject to the determinations announced by the PCAOB on December 16, 2021. As such, as of the date of this prospectus, our offering is not affected by the HFCA Act, the Consolidated Appropriations Act, and related regulations. Notwithstanding the foregoing, in the future, if there is any regulatory change or step taken by PRC regulators that does not permit Marcum Asia CPAs LLP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 See “Risk Factors – Risks Related to Doing Business in China — </w:t>
      </w:r>
      <w:r>
        <w:rPr>
          <w:rFonts w:ascii="Times New Roman" w:cs="Times New Roman" w:eastAsia="Times New Roman" w:hAnsi="Times New Roman"/>
          <w:sz w:val="18"/>
          <w:szCs w:val="18"/>
          <w:i w:val="1"/>
          <w:iCs w:val="1"/>
          <w:color w:val="auto"/>
        </w:rPr>
        <w:t>“There is no assurance that future audit reports will be prepared by auditors able to be inspected or investigated completely by the PCAOB,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they are not, our ordinary shares may be prohibited from being traded on a national exchange under the HFCA Act. The delisting of our ordinary shares, or the threat of being delisted, may materially and adversely affect the value of your investment.” incorporated herein by reference on page 52 of this prospectus.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supplement,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Guangzhou Youxin. For more detailed discussion of how cash and other assets are transferred among our Company and our subsidiaries, see “Prospectus Summary—Dividend Distributions, Cash Transfer, and Tax Consequences,” our audited consolidated financial statements for the fiscal years ended September 30, 2024 and 2025 included in the 2025 Annual Report. To the extent cash in the business is in the PRC, such funds may not be available to fund operations or for other use outside of the PRC, due to interventions of, or the imposition of restrictions and limitations on the ability of our Company and Guangzhou Youxin by, the PRC government to transfer cash. See “Risk Factors—Risks Related to Doing Business in China—To the extent cash in the business is in the PRC and Hong Kong or a PRC or Hong Kong entity, the funds may not be available to fund operations or for other use outside of the PRC/Hong Kong” on page 45 of this prospectus. PRC regulations currently permit Guangzhou Youxin to pay dividends only out of its accumulated profits, if any, as determined in accordance with PRC accounting standards and regulations. In addition, if Guangzhou Youxin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Guangzhou Youxin only through loans or capital contributions, subject to the filing or approval of government authorities and limits on the amount of capital contributions and loans. As a result, in the event that Guangzhou Youxin incurs debt on its own behalf in the future, the instruments governing the debt may restrict any such entity’s ability to pay dividends or make other distributions to us. See “Risk Factors—Risks Related to Doing Business in China—Failure to comply with PRC regulation of loans to and direct investment in PRC entities by offshore holding companies and governmental control of currency conversion may delay or prevent us from using the proceeds of this offering to make loans or additional capital contributions to our subsidiaries, which could materially and adversely affect our liquidity and ability to fund and expand our business” on page 43 of this prospectus.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As of the date of this prospectus, we do not anticipate any material difficulties on our ability to transfer cash between subsidiaries.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U.S. federal securities laws and will be subject to reduced public company reporting requirements. See “Prospectus Summary — Implications of Being an Emerging Growth Company” and “Prospectus Summary — Implications of Being a Foreign Private Issuer.”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the Sales Agent.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Aegis Capital Corp.</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5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780" w:type="dxa"/>
            <w:vAlign w:val="bottom"/>
            <w:tcBorders>
              <w:bottom w:val="single" w:sz="8" w:color="CCEEFF"/>
            </w:tcBorders>
            <w:gridSpan w:val="4"/>
            <w:shd w:val="clear" w:color="auto" w:fill="CCEEFF"/>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3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9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40" w:type="dxa"/>
            <w:vAlign w:val="bottom"/>
            <w:tcBorders>
              <w:top w:val="single" w:sz="8" w:color="CCEEFF"/>
            </w:tcBorders>
            <w:gridSpan w:val="9"/>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3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tcBorders>
              <w:top w:val="single" w:sz="8" w:color="CCEEFF"/>
            </w:tcBorders>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3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1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3100" w:type="dxa"/>
            <w:vAlign w:val="bottom"/>
            <w:tcBorders>
              <w:top w:val="single" w:sz="8" w:color="CCEEFF"/>
            </w:tcBorders>
            <w:gridSpan w:val="7"/>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6"/>
            <w:shd w:val="clear" w:color="auto" w:fill="CCEEFF"/>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3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720" w:type="dxa"/>
            <w:vAlign w:val="bottom"/>
            <w:tcBorders>
              <w:bottom w:val="single" w:sz="8" w:color="CCEEFF"/>
            </w:tcBorders>
            <w:gridSpan w:val="12"/>
            <w:shd w:val="clear" w:color="auto" w:fill="CCEEFF"/>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432"/>
        </w:trPr>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3"/>
        </w:trPr>
        <w:tc>
          <w:tcPr>
            <w:tcW w:w="2240" w:type="dxa"/>
            <w:vAlign w:val="bottom"/>
            <w:tcBorders>
              <w:bottom w:val="single" w:sz="8" w:color="0000EE"/>
            </w:tcBorders>
            <w:gridSpan w:val="1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28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778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OTHER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 AND SHARE PURCHASE UNITS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24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81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RELATING TO THIS OFFERING</w:t>
            </w:r>
          </w:p>
        </w:tc>
        <w:tc>
          <w:tcPr>
            <w:tcW w:w="71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INTERESTS OF NAMED EXPERTS AND COUNSEL</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540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520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accompanying prospectus relates to part of a registration statement on Form F-3, as amended (File No. 333-295763), that we have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utilizing a “shelf” registration process. Under this shelf registration process, we may sell the securities described in our base prospectus included in the shelf registration statement in one or more offerings up to a total aggregate offering price of $100,000,000. As of June 10, 2026, we have not sold any of our securities under that shelf registration statement. We sometimes refer to the Class A Ordinary Shares as the “securities” throughout this prospectus supplement.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terms of this offering of the Class A Ordinary Shares, and also adds, updates and changes information contained in the accompanying prospectus and the documents incorporated herein and therein by reference. This prospectus supplement relates only to an offering of up to $100,000,000 of our Class A Ordinary Shares through the Sales Agent. These sales, if any, will be made pursuant to the terms of the Sales Agreement, entered into between us and the Sales Agent on June 25, 2026, a copy of which will be incorporated by reference into this prospectus supplement. The second part is the accompanying prospectus, which gives more general information about us, some of which may not apply to this offering. You should read both this prospectus supplement and the accompanying prospectus, including the information incorporated by reference herein and therein. To the extent the information contained in this prospectus supplement differs or varies from the information contained in the accompanying prospectus or any document filed prior to the date of this prospectus supplement and incorporated herein or therein by reference, the information in this prospectus supplement will control; provided, that if any statement in one of these documents is inconsistent with a statement in another document having a later date, the statement in the document having the later date modifies or supersedes the earlier statement. In addition, this prospectus supplement and the accompanying prospectus do not contain all of the information provided in the registration statement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that contains the accompanying prospectus (including the exhibits to the registration statement). For further information about us, you should refer to that registration statement, which you can obtain from the SEC as described elsewhere in this prospectus supplement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 address or telephone number: Room 1005, 1006, 1007, No. 122 Huangpu Avenue West, Tianhe District, Guangzhou, Guangdong Province, PRC. The telephone number of our principal executive office is +86 13631357745.</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have not authorized anyone to provide you with information that is different. No dealer, salesperson or other person is authorized to give any information or to represent anything not contained in or incorporated by reference into this prospectus supplement and the accompanying prospectus, and you must not rely upon any information or representation not contained in or incorporated by reference into this prospectus supplement or the accompanying prospectus. This prospectus supplement and the accompanying prospectus do not constitute an offer to sell or solicitation of an offer to buy these securities in any circumstances under which the offer or solicitation is unlawful. We are offering to sell, and seeking offers to buy, our securities offered hereby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and the accompanying prospectus or of any of our securities. Our business, financial condition, results of operations and prospects may have changed since those 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supplement, “we,” “us,” “our,” the “Company”, “YAAS”, and “Youxin” refer to YOUXIN TECHNOLOGY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reporting currency is the U.S. dollar and references to “dollars” or “$” are to U.S. dollars.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 starting on page S-7 of this prospectus supplement and in the documents incorporated by reference into this prospectus supplement and the accompanying prospectus, as well as the financial statements and notes thereto and the other information incorporated by reference herein and therein, before making an investment decision.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offshore holding company incorporated in the Cayman Islands as an exempted company limited by shares. Exempted companies are Cayman Island companies conducting business mainly outside the Cayman Islands and, as such, are exempted from complying with certain provisions of the Companies Act (as Revised) of the Cayman Islands (the “</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As a holding company with no material operations of our own, our operations are conducted in China through our wholly owned indirect PRC subsidiary, Guangzhou Youxin. This is an offering of securities of the offshore holding company in the Cayman Islands, instead of securities of the operating entity in China. Therefore, you will not directly hold any equity interests in the operating entity.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For more details on our corporate history, please refer to “Corporate History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4766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business operations of Guangzhou Youxin in China, which could cause the value of our securities to significantly decline or become worthless. Applicable PRC laws and regulations governing such current business operations are sometimes vague and uncertain, and as a result these risks may result in material changes in the operations of Guangzhou Youxin, significant depreciation or a complete loss of the value of our Class A Ordinary Shares, or a complete hindrance of our ability to offer, or continue to offer, our securities to investors.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SaaS and PaaS provider committed to helping retail enterprises digitally transforming their businesses to develop, use and control business applications without the need to purchase complex IT infrastructure. We leverage the capabilities of our AI + PaaS platform to highly customize digital scenarios for our clients, extending beyond CRM services to include HRM and OA (Office Automation). This seamlessly connects all levels of the relationship chain from management teams to end-users. Our product offers clients a comprehensive, real-time view of their business operations across multiple interfaces, empowering them to make critical business decisions anytime, anywhere.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have developed one of the few PaaS platforms in Mainland China that can build complex external digital applications (especially transaction-related distribution, store, and e-commerce clouds), which can mass-produce SaaS products from our PaaS platform. We serve the entire enterprise-application market, using PaaS-generated SaaS applications to cover customers’ digital scenarios.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there is substantial market opportunity for our SaaS product and PaaS platform in China. According to CIC, the market for retail public cloud services in China, including ours, has experienced rapid growth over the past five years and is projected to maintain this steady rate of expansion for the next five years. As the demand for cloud-based solutions continues to rise, we believe clients will increasingly turn to public cloud services to streamline their operations, reduce costs, and enhance their overall performance.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customers in need of digitalization, traditional IT solutions cause their data to be scattered across various systems, making it difficult to get an overall view of their operations. The need for data integration and unified operation increases the demand for personalized integrated systems in which all software or terminals are fully interconnected, offering multiple data interfaces, and eliminating the problem of data silos. These larger, faster, and more complex systems capable of handling massive amounts of data and hybrid online and offline business management are needed to meet the clients’ increasing IT demands and to streamline their operations, reduce redundancy, and increase productivity and profitability.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the demands for customized and personalized SaaS products, traditional IT service companies in China must devote substantial resources because they lack standardized platforms capable of delivering personalized data integration and unified operations. Such traditional approaches can often be inefficient due to poor product replicability, heavy delivery and operation modes, and a significant drain on resources.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company is uniquely positioned to meet these needs for mid-tier brands in Mainland China. We specialize in supporting mid-tier brands that heavily rely on offline direct distribution with high volume IT update requirements. We provide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had 12 and 13 customers purchase our professional services and the payment channel services in fiscal year 2024 and 2025, respectively, primarily in the fast-moving consumer goods, cosmetics, and food and drink sectors. Our PaaS platform empowered us to develop highly customized CRM SaaS products for some leading brands such as P&amp;G Guangzhou and Lancang Ancient Tea. Our net losses increased from approximately RMB9.23 million ($1.28 million) for the year ended September 30, 2024 to approximately RMB69.57 million ($9.65 million) for the year ended September 30, 2025. Our revenues increased by 3% from RMB3.76 million ($0.52 million) in fiscal year 2024 to RMB3.89 million ($0.54 million) in fiscal year 2025 and our gross profit decreased from RMB2.46 million ($0.34 million) in fiscal year 2024 to RMB1.30 million ($0.18 million) in fiscal year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revenue from professional services, payment channel services, and other revenues. Professional Services revenue are mostly derived from CRM system development services, additional function development services and subscription services. The CRM system development services include process design, project management, system deployment and implementation, and launch to trial operation and acceptance. Additional function development services are based on fulfilling the additional needs of customers for customized CRM systems. Subscription revenues are derived from subsequent maintenance or update services to the customer. Our company charges an annual service fee as long as the customer is still using the constructed CRM system based on the number of user accounts over the subscription period. Contracts are generally one year and full payment is generally collected in advance. Our company also enables the user to make payment services through our CRM system, such as top up, withdraw or transaction etc. Our company charges an agreed proportion of the transaction for the payment channel services. Lastly, our company charges a license fee to companies who provide services to their own customers based on our SaaS products.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Dividend Distributions, Cash Transfer, and Tax Consequences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Guangzhou Youxin. For more detailed discussion of how cash and other assets are transferred among our Company and our subsidiaries, see our audited consolidated financial statements (“CFS”) as of and for the fiscal years ended September 30, 2025 and 2024 included in “Item 18. Financial Statements” in our 2025 Annual Report furnished by the Company on January 28, 2026.</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cash in the business is in the PRC, such funds may not be available to fund operations or for other use outside of the PRC, due to interventions of, or the imposition of restrictions and limitations on, the ability of our Company and Guangzhou Youxin by the PRC government to transfer cash. See “Risk Factors—Risks Related to Doing Business in China—To the extent cash in the business is in the PRC and Hong Kong or a PRC or Hong Kong entity, the funds may not be available to fund operations or for other use outside of the PRC/Hong Kong.” on page 45 of this prospectus. PRC regulations currently permit Guangzhou Youxin to pay dividends only out of its accumulated profits, if any, as determined in accordance with PRC accounting standards and regulations. In addition, if Guangzhou Youxin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Guangzhou Youxin only through loans or capital contributions, subject to the filing or approval of government authorities and limits on the amount of capital contributions and loans. As a result, in the event that Guangzhou Youxin incurs debt on its own behalf in the future, the instruments governing the debt may restrict any such entity’s ability to pay dividends or make other distributions to us. See “Risk Factors—Risks Related to Doing Business in China—Failure to comply with PRC regulation of loans to and direct investment in PRC entities by offshore holding companies and of currency conversion may delay or prevent us from using the proceeds of this offering to make loans or additional capital contributions to our subsidiaries, which could materially and adversely affect our liquidity and ability to fund and expand our business.” on page 43 of this prospectus.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As of the date of this prospectus, we do not anticipate any material difficulties on our ability to transfer cash between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less than $1.235 billion in revenue as of September 30, 2025.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our ordinary shares in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w:t>
      </w:r>
    </w:p>
    <w:p>
      <w:pPr>
        <w:spacing w:after="0" w:line="27" w:lineRule="exact"/>
        <w:rPr>
          <w:sz w:val="20"/>
          <w:szCs w:val="20"/>
          <w:color w:val="auto"/>
        </w:rPr>
      </w:pPr>
    </w:p>
    <w:p>
      <w:pPr>
        <w:jc w:val="both"/>
        <w:ind w:firstLine="8"/>
        <w:spacing w:after="0" w:line="253" w:lineRule="auto"/>
        <w:tabs>
          <w:tab w:leader="none" w:pos="3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for complying with new or revised accounting standards.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both foreign private issuers and emerging growth companies are exempt from certain of the more extensive SEC executive compensation disclosure rules (see “</w:t>
      </w:r>
      <w:r>
        <w:rPr>
          <w:rFonts w:ascii="Times New Roman" w:cs="Times New Roman" w:eastAsia="Times New Roman" w:hAnsi="Times New Roman"/>
          <w:sz w:val="18"/>
          <w:szCs w:val="18"/>
          <w:i w:val="1"/>
          <w:iCs w:val="1"/>
          <w:color w:val="auto"/>
        </w:rPr>
        <w:t>Implications of Being a Foreign Private Issuer</w:t>
      </w:r>
      <w:r>
        <w:rPr>
          <w:rFonts w:ascii="Times New Roman" w:cs="Times New Roman" w:eastAsia="Times New Roman" w:hAnsi="Times New Roman"/>
          <w:sz w:val="18"/>
          <w:szCs w:val="18"/>
          <w:color w:val="auto"/>
        </w:rPr>
        <w:t>” below). Therefore, even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consummation of this offering, we will report under the Securities Exchange Act of 1934, as amended (the “Exchange Act”), as a non-U.S. company with “foreign private issuer” status. Even after we no longer qualify as an emerging growth company, so long as we qualify as a foreign private issuer under the Exchange Act, we are exempt from certain provisions of the Exchange Act and the rules thereunder that are applicable to U.S. domestic public companies, including:</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U.S. domestic public companies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regulate the solicitation of proxies, consents, or authorizations in respect of any securities registered under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require insiders to file public reports of their share ownership and trading activities and that impose liability on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file with the SEC, within four months after the end of each fiscal year (or such other reports required by the SEC), an annual report on Form 20-F containing financial statements audited by an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77,562 Class A Shares to the Voting Trust. The investment and voting decisions of Voting Trustee are made by the Trustee at the direction of the Voting Trust’s Trust Committee (the “Trust Committee”). Jinhou Sun was appointed chairman (the “Chairman”) of the Trust Committee by the Beneficiaries and Principals. The Chairman has the exclusive right to appoint the other members of the Committee and remove any members so appointed. The Voting Trust owns a controlling interest in our company and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controlled by this shareholder, may rely upon exemptions from several of Nasdaq’s corporate governance requirements, including requirements that:</w:t>
      </w:r>
    </w:p>
    <w:p>
      <w:pPr>
        <w:spacing w:after="0" w:line="1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long as our officers and directors, either individually or in the aggregate, own at least 50% of the voting power of our company, we are a “controlled company” as defined under Nasdaq Marketplace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executive office is located at Room 1005, 1006, 1007, No. 122 Huangpu Avenue West, Tianhe District, Guangzhou, Guangdong Province, PRC. The telephone number of our principal executive office is +86 13631357745. Celnet leases three office spaces in Guangzhou, Shanghai and Beijing respectively. Guangzhou office is located at Room D203, No. 32, Shangchong Nanyue, Haizhu District, Guangzhou. The total leased area spans 371.53 square meters. The lease commenced on December 1, 2025, and the expiration date is November 30, 2027. Shanghai office is Office 535, 5th Floor, East Wing, Building 3, Hongqiao Tiandi, No.29 Suhong Road, Minhang District, Shanghai. The lease commenced on May 1, 2026, and the expiration date is April 30, 2027. Beijing office is located at Room 1502, 15F, Building 4, Courtyard 60, Xinhua West Street, Tongzhou District, Beijing. The total leased area spans 48.87 square meters. The lease commenced on August 16, 2024, and the expiration date is August 15, 2026. The property is leased without any pledge/mortgage as of the date of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website at https://www.ir.youxin.cloud/,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 Our registered office in the Cayman Islands is located at Ogier Global (Cayman) Limited, 89 Nexus Way, Camana Bay, Grand Cayman, KY1-9009, Cayman Islands or at such other place in the Cayman Islands as the directors may at any time decide. Our agent for service of process in the United States is Puglisi &amp; Associates, 850 Library Avenue, Suite 204, Newark, Delaware 19711.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having an aggregate offering price of up to $6,355,771.</w:t>
      </w:r>
    </w:p>
    <w:p>
      <w:pPr>
        <w:spacing w:after="0" w:line="200"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Aegis, as sales agent or principal. See “Plan of Distribution” on page S-12 of this prospectus supplement.</w:t>
      </w:r>
    </w:p>
    <w:p>
      <w:pPr>
        <w:spacing w:after="0" w:line="158"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Ordinary Shares to be outstanding after this</w:t>
      </w:r>
      <w:r>
        <w:rPr>
          <w:sz w:val="20"/>
          <w:szCs w:val="20"/>
          <w:color w:val="auto"/>
        </w:rPr>
        <w:tab/>
      </w:r>
      <w:r>
        <w:rPr>
          <w:rFonts w:ascii="Times New Roman" w:cs="Times New Roman" w:eastAsia="Times New Roman" w:hAnsi="Times New Roman"/>
          <w:sz w:val="18"/>
          <w:szCs w:val="18"/>
          <w:color w:val="auto"/>
        </w:rPr>
        <w:t>20,840,233 Class A Ordinary Shares, assuming sales of 6,993,586 of Class A Ordinary Shares in this</w:t>
      </w:r>
    </w:p>
    <w:p>
      <w:pPr>
        <w:sectPr>
          <w:pgSz w:w="11900" w:h="16838" w:orient="portrait"/>
          <w:cols w:equalWidth="0" w:num="1">
            <w:col w:w="11240"/>
          </w:cols>
          <w:pgMar w:left="320" w:top="684"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offering at an offering price of $0.9088, which was the closing price of the Class A Ordinary Shares on the Nasdaq Capital Market on June 18, 2026, and 8,945,307 Class B Ordinary Shares. The actual number of Class A Ordinary Shares outstanding after this offering will vary, depending on the sales price in this offering.</w:t>
      </w:r>
    </w:p>
    <w:p>
      <w:pPr>
        <w:spacing w:after="0" w:line="185"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under this prospectus for general corporate purposes, which include but not limited to working capital, operating expenses, capital expenditures, potential acquisitions, business development activities, and other strategic initiatives in line with the Company’s growth plans. See “Use of Proceeds” on page S-10 of this prospectus supplement.</w:t>
      </w:r>
    </w:p>
    <w:p>
      <w:pPr>
        <w:spacing w:after="0" w:line="179"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the Class A Ordinary Shares involves a high degree of risk. See “Risk Factors” beginning on page S-7 of this prospectus supplement and in the documents incorporated by reference into this prospectus supplement and the accompanying prospectus for a discussion of the risks you should carefully consider before deciding to invest in the Class A Ordinary Shares.</w:t>
      </w:r>
    </w:p>
    <w:p>
      <w:pPr>
        <w:spacing w:after="0" w:line="176"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VStock Transfer, LLC</w:t>
      </w:r>
    </w:p>
    <w:p>
      <w:pPr>
        <w:spacing w:after="0" w:line="200"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Class A Ordinary Shares are listed on the Nasdaq Capital Market under the symbol “YAAS.”</w:t>
      </w:r>
    </w:p>
    <w:p>
      <w:pPr>
        <w:spacing w:after="0" w:line="207"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line="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the number of shares outstanding is based on 13,846,647 Class A Ordinary Shares and 8,945,307 Class B Ordinary Shares outstanding as of June 26,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risks. Before making an investment decision, you should carefully consider the risks described below and in our most recent Annual Report on Form 20-F, and in our other SEC filings incorporated by reference into this prospectus supplement and the accompanying prospectus, and in any amendment or update thereto reflected in our subsequent filings with the SEC and incorporated by reference into this prospectus supplement and the accompanying prospectus, together with all of the other information appearing in this prospectus supplement or the accompanying prospectus or incorporated by reference herein or therein, including in light of your particular investment objectives and financial circumstances. The risks so described are not the only risks we face. Additional risks not presently known to us or that we currently deem immaterial may also impair our business operations and become material.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“Special Note Regarding Forward-Looking Statements”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have broad discretion in how we use the proceeds from this offering, we may use the proceeds in ways with which you disagree.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for other general corporate purposes, which include operating expenses, capital expenditures, potential acquisitions, business development activities, and other strategic initiatives in line with the Company’s growth plans.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us a favorable, or any, return. The failure of our management to use the net proceeds effectively could have a material adverse effect on our business, financial condition, operating results and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incur immediate dilution from the public offering price.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offering price of the Class A Ordinary Shares being offered is higher than the book value per Class A Ordinary Share, you will suffer immediate dilution in the net tangible book value of the Class A Ordinary Shares you purchase in this offering. Assuming that an aggregate of 6,993,586 Class A Ordinary Shares are sold during the term of the Sales Agreement, at a price of $0.9088 per share (the reported closing price of our Class A Ordinary Shares on the Nasdaq Capital Market on June 18, 2026, for aggregate gross proceeds of approximately $6,355,771, and after deducting commissions and estimated offering expenses payable by us, you will experience immediate and substantial dilution of $0.05 per share , with respect to the net tangible book value of the Class A Ordinary Shares. See “Dilution” for a more detailed discussion of the dilution you will incur in this offering.</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Class A Ordinary Shares we will sell under the Sales Agreement, as well as the price at which we may sell such Class A Ordinary Shares, at any one time or in total, is uncertain.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placement notices to the Sales Agent at any time throughout the term of the Sales Agreement. The number of Class A Ordinary Shares that are sold by the Sales Agent after delivering a placement notice will fluctuate based on the market price of the Class A Ordinary Shares during the sales period and limits, we set with the Sales Agent. In addition, the price at which Class A Ordinary Shares are sold by the Sales Agent., from time to time, will be dependent on the market price of our Class A Ordinary Shares and, as a result, purchasers of our Class A Ordinary Shares that are sold under the Sales Agreement may purchase such Class A Ordinary Shares at different prices.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our Class A Ordinary Shares may be sold in this offering and we may sell or issue additional Ordinary Shares in the future, which could cause the price of the Class A Ordinary Shares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an aggregate of up to $6,355,771 Class A Ordinary Shares during the term of the Sales Agreement with the Sales Agent, which would equal approximately 51% of our outstanding Class A Ordinary Shares as of June 18, 2026. Such sale and any future issuances or sales of a substantial number of Class A Ordinary Shares or Class B Ordinary Shares in the public market or otherwise, or the perception that such issuances or sales may occur, could adversely affect the price of the Class A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in the future. We may be unable to obtain additional financing or if we obtain financing it may not be on terms favorable to us. You may lose your entire investment.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current plans, we believe our existing cash and cash equivalents, along with cash generated from this offering, will be sufficient to fund our operating expense and capital requirements for at least 12 months from the date of this prospectus supplement, although there is no assurance of this and we may need additional funds in the future. If our capital resources are insufficient to meet future capital requirements, we will have to raise additional funds. We may be unable to obtain additional funds through financing activities, and if we obtain financing it may not be on terms favorable to us. If we are unable to obtain additional funds on terms favorable to us, we may be required to cease or reduce our operating activities. If we must cease or reduce our operating activities, you may lose your entire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Class A Ordinary Shares may be volatile.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the Class A Ordinary Shares has fluctuated in the past. Consequently, the current market price of the Class A Ordinary Shares may not be indicative of future market prices, and we may be unable to sustain or increase the value of your investment in the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plan to declare or pay any dividends in the foreseeable future on our Ordinary Shares. We currently intend to retain most, if not all, of our available funds and any future earnings to operate and expand our business. Therefore, you should not rely on an investment in Ordinary Shares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Ordinary Shares offered hereby will be sold in “at the market” offerings, and investors who buy the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and the terms of the Sales Agreement, to vary the timing, prices, and numbers of shares sold, and there is no predetermined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A Ordinary Shares are trading below the $1.00 minimum bid price required for continued listing on the Nasdaq Capital Market, and because we effected a reverse share split within the past year, we would not be eligible for any compliance period if a new bid price deficiency arises, which could result in the prompt delisting of our Class A Ordinary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closing price of our Class A Ordinary Shares on the Nasdaq Capital Market on June 25, 2026 was $0.8081, below the $1.00 minimum bid price required for continued listing under Nasdaq Listing Rule 5550(a)(2). During 2025, we received deficiency notices relating to, among other things, the minimum bid price requirement, as well as a delisting determination under Nasdaq’s low priced stocks rule, and we regained compliance in October 2025 following the one-for-eighty share consolidation effected on September 30, 2025. Under Nasdaq Listing Rule 5810(c)(3)(A)(iv), because we effected a reverse share split during the prior one-year period, if the closing bid price of our Class A Ordinary Shares is below $1.00 for 30 consecutive business days prior to September 30, 2026, we would not be eligible for any compliance period and the Nasdaq Listing Qualifications Department would issue a delisting determination, which we could appeal to a Nasdaq hearings panel. Sales of our Class A Ordinary Shares in this offering at prices below $1.00 per share could contribute to downward pressure on the market price of our Class A Ordinary Shares. If our Class A Ordinary Shares were to be delisted from Nasdaq, the liquidity and market price of our Class A Ordinary Shares would likely decline materially, and our ability to raise capital, including pursuant to the Sales Agreement, would be materially impaired.</w:t>
      </w:r>
    </w:p>
    <w:p>
      <w:pPr>
        <w:spacing w:after="0" w:line="19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IN ADDITION TO THE ABOVE RISKS, BUSINESSES ARE OFTEN SUBJECT TO RISKS NOT FORESEEN OR FULLY APPRECIATED BY MANAGEMENT. IN REVIEWING THIS FILING, POTENTIAL INVESTORS SHOULD KEEP IN MIND THAT OTHER POSSIBLE RISKS MAY ADVERSELY IMPACT THE COMPANY’S BUSINESS OPERATIONS AND THE VALUE OF THE COMPANY’S SECURITIES.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and Section 21E of the Securities Exchange Act of 1934. The words “anticipate,” “expect,” “believe,” “goal,” “plan,” “intend,” “estimate,” “may,” “will,” and similar expressions and variations thereof are intended to identify forward-looking statements, but are not the exclusive means of identifying such statements. Any statements regarding the intent, belief or current expectations of the Company and management that are subject to known and unknown risks, uncertainties and assumptions are considered forward-looking statements. You are cautioned that any such forward-looking statements are not guarantees of future performance and involve risks and uncertainties, and that actual results may differ materially from those projected in the forward-looking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and sell our Class A Ordinary Shares having an aggregate sales price of up to $100,000,000 from time to time under the Sales Agreement. However, due to the offering limitations applicable to us under General Instruction I.B.5. of Form F-3 and our public float calculated in accordance therewith as of the date of this prospectus supplement, and in accordance with the terms of the Sales Agreement, we are offering shares of our Class A Ordinary Shares having an aggregate gross sales price of up to $6,355,771 pursuant to this prospectus supplement and the accompanying prospectus. Because there is no minimum offering amount required as a condition to close this offering, the actual total public offering amount, commissions and proceeds to us, if any, are not determinable at this time.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under this prospectus for general corporate purposes, which include operating expenses, capital expenditures, potential acquisitions, business development activities which may include expanding relationships with new and existing customers and channel partners, strengthening cooperation with media platform partners and other ecosystem participants, and supporting go-to-market initiatives for new or enhanced service offerings, and other strategic initiatives in line with the Company’s growth plans. The timing and amount of our actual expenditures will be based on many factors, and we cannot specify with certainty all of the particular uses of the net proceeds from this offering. Accordingly, our management will have significant discretion and flexibility in applying the net proceeds of this offering. We have no current commitments or binding agreements with respect to any material acquisition of or investment in any technologies, products or companies.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may invest the net proceeds of this offering in a variety of capital preservation investments, including but not limited to short-term, investment grade, interest bearing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subsidiaries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determine to pay dividends on any of our Class A Ordinary Shares in the future, as a holding company, we will be dependent on receipt of funds from our PRC subsidiary, Guangzhou Youxin. For more detailed discussion of how cash and other assets are transferred among our Company and our subsidiaries, see our audited consolidated financial statements (“CFS”) as of and for the fiscal years ended September 30, 2025, and 2024 included in 2025 Annual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subject to the provisions in our articles of association,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invest in our Class A Ordinary Shares, you will experience immediate dilution to the extent of the difference between the public offering price of the Class A Ordinary Shares in this offering and the net tangible book value per Ordinary Share immediately after the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value per Ordinary Share is determined by dividing our total tangible assets, less total liabilities, by the actual number of outstanding Ordinary Shares. The net tangible book value of our Ordinary Shares as of September 30, 2025 was approximately $8,190,253, or $0.73 per share. Net tangible book value per share represents the amount of our total tangible assets less our total liabilities, divided by 11,270,857, which is the total number of Class A Ordinary Shares and Class B Ordinary Shares outstanding as of September 30,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6,993,586 shares of our Class A Ordinary Shares in this offering at an assumed offering price of $0.9088 per share, the closing price of our Ordinary Shares on Nasdaq on June 18, 2026, and after deducting estimated offering commissions and offering expenses payable by us, our as adjusted net tangible book value as of September 30, 2025 would have been approximately $14,224,451, or $0.78 per share. This would represent an immediate increase in net tangible book value of $0.05 per share to existing stockholders and immediate dilution of $0.13 per share to investors purchasing our Ordinary Share in this offering at the assumed public offering price. The following table illustrates this dilution on a per share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this dilution on a per Class A Ordinary Share basis. The as adjusted information is illustrative only and will adjust based on the actual prices to the public, the actual number of Class A Ordinary Shares sold, and other terms of the offering determined at the times our Class A Ordinary Shares are sold pursuant to this prospectus. The Class A Ordinary Shares sold in this offering, if any, will be sold from time to time at various prices.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Class A Ordinary Share</w:t>
            </w:r>
          </w:p>
        </w:tc>
        <w:tc>
          <w:tcPr>
            <w:tcW w:w="2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0.9088</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Class A Ordinary Share as of September 30, 2025</w:t>
            </w: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Class A Ordinary Share after offering</w:t>
            </w:r>
          </w:p>
        </w:tc>
        <w:tc>
          <w:tcPr>
            <w:tcW w:w="2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r>
      <w:tr>
        <w:trPr>
          <w:trHeight w:val="198"/>
        </w:trPr>
        <w:tc>
          <w:tcPr>
            <w:tcW w:w="7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Ordinary Share attributable to</w:t>
            </w: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investors purchasing Class A Ordinary Shares in this offering</w:t>
            </w: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investors purchasing Class A Ordinary Shares in the offering</w:t>
            </w:r>
          </w:p>
        </w:tc>
        <w:tc>
          <w:tcPr>
            <w:tcW w:w="2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discussion and table are based on 2,325,550 Class A Ordinary Shares and 8,945,307 Class B Ordinary Shares outstanding as of September 30, 2025. To the extent that we grant additional options or other awards under our stock incentive plan or issue additional warrants, or we issue additional Class A Ordinary Shares in the future, there may be further dilution.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that we have sufficient funds for our current and future operating plans. To the extent that additional capital is raised through the sale of equity or convertible debt securities, the issuance of those securities could result in further dilution to the holders of our Ordinary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that certain At-The-Market Issuance Sales Agreement with Aegis Capital Corp. (the “</w:t>
      </w:r>
      <w:r>
        <w:rPr>
          <w:rFonts w:ascii="Times New Roman" w:cs="Times New Roman" w:eastAsia="Times New Roman" w:hAnsi="Times New Roman"/>
          <w:sz w:val="18"/>
          <w:szCs w:val="18"/>
          <w:b w:val="1"/>
          <w:bCs w:val="1"/>
          <w:color w:val="auto"/>
        </w:rPr>
        <w:t>Sales Agent</w:t>
      </w:r>
      <w:r>
        <w:rPr>
          <w:rFonts w:ascii="Times New Roman" w:cs="Times New Roman" w:eastAsia="Times New Roman" w:hAnsi="Times New Roman"/>
          <w:sz w:val="18"/>
          <w:szCs w:val="18"/>
          <w:color w:val="auto"/>
        </w:rPr>
        <w:t>”) under which we may issue and sell shares of our Class A Ordinary Shares having an aggregate offering price of up to $100,000,000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from time to time, at prevailing market prices, subject to any minimum price we specify in a placement notice, through the Sales Agent. However, due to the offering limitations applicable to us under General Instruction I.B.5. of Form F-3 and our public float calculated in accordance therewith as of the date of this prospectus supplement, and in accordance with the terms of the Sales Agreement, we are offering shares of our Class A Ordinary Shares having an aggregate gross sales price of up to $6,355,771 pursuant to this prospectus supplement and the accompanying prospectus. If our public float increases such that we may sell additional amounts under the Sales Agreement and the registration statement of which this prospectus supplement and the accompanying prospectus are a part, we will file another prospectus supplement prior to making additional sales. The sales of our Class A Ordinary Shares, if any, under this prospectus supplement will be made at market prices by any method deemed to be an “at the market offering” as defined in Rule 415(a)(4) under the Securities Act, including sales made directly on Nasdaq, or sales made to or through a market maker other than on an exchange or any other method permitted under applicable law. The Sales Agreement terminates upon the earlier to occur of: (i) the eighteen-month anniversary of the date thereof; (ii) the issuance and sale of all of the Placement Shares through the Sales Agent on the terms and subject to the conditions set forth therein; or (iii) earlier termination as described therein.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time that we wish to issue and sell shares of our Class A Ordinary Shares under the Sales Agreement, we will provide the Sales Agent with a placement notice describing the amount of shares to be sold, the time period during which sales are requested to be made, any limitation on the amount of shares of Class A Ordinary Shares that may be sold in any single day, any minimum price below which sales may not be made or any minimum price requested for sales in a given time period and any other instructions relevant to such requested sales. Upon receipt of a placement notice, the Sales Agent, acting as our sales agent, will use commercially reasonable efforts, consistent with its normal trading and sales practices and applicable state and federal laws, rules and regulations and the rules of Nasdaq, to sell shares of our Class A Ordinary Shares under the terms and subject to the conditions of the placement notice and the Sales Agreement. We or the Sales Agent may suspend the offering of Class A Ordinary Shares pursuant to a placement notice upon notice and subject to other conditions. The Sales Agent, in its sole discretion, may decline to accept any placement notice by notice to the Company within two (2) business days after receipt of the placement notice.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Agent will provide written confirmation to us no later than the opening of the trading day immediately following the trading day on which shares of our Class A Ordinary Shares are sold through the Sales Agent under the Sales Agreement. Each confirmation will include the number of shares sold on such day, the compensation payable by the Company to the Sales Agent for such sales, and the net proceeds payable to the Company, with an itemization of the deductions made by the Sales Agent from the gross proceeds that it receives from such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for sales of Class A Ordinary Shares under the Sales Agreement will occur on the second trading day following the date on which such sales are made (or on such other date as is industry practice for regular-way trading), in return for payment of the net proceeds to us. There are no arrangements to place any of the proceeds of this offering in an escrow, trust or similar account. Sales of our Class A Ordinary Shares as contemplated in this prospectus supplement will be settled through the facilities of The Depository Trust Company through its Deposit and Withdrawal at Custodian System or by such other means as we and the Sales Agent may agree upon.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Without providing prior written notice delivered to the Sales Agent, the Company will not, directly or indirectly, offer to sell, sell, contract to sell, grant any option to sell or otherwise dispose of any Class A Ordinary Shares (other than the Placement Shares offered pursuant to this Agreement) or securities convertible into or exchangeable for Class A Ordinary Shares, warrants or any rights to purchase or acquire, Class A Ordinary Shares in any public or private equity offerings (“</w:t>
      </w:r>
      <w:r>
        <w:rPr>
          <w:rFonts w:ascii="Times New Roman" w:cs="Times New Roman" w:eastAsia="Times New Roman" w:hAnsi="Times New Roman"/>
          <w:sz w:val="18"/>
          <w:szCs w:val="18"/>
          <w:b w:val="1"/>
          <w:bCs w:val="1"/>
          <w:color w:val="auto"/>
        </w:rPr>
        <w:t>Other Sales</w:t>
      </w:r>
      <w:r>
        <w:rPr>
          <w:rFonts w:ascii="Times New Roman" w:cs="Times New Roman" w:eastAsia="Times New Roman" w:hAnsi="Times New Roman"/>
          <w:sz w:val="18"/>
          <w:szCs w:val="18"/>
          <w:color w:val="auto"/>
        </w:rPr>
        <w:t>”) prior to the termination of the Sales Agreement in accordance thereto; provided, however, that such restrictions will not be required in connection with the Company’s issuance or sale of: (1) Class A Ordinary Shares, options to purchase Class A Ordinary Shares or Class A Ordinary Shares issuable upon the exercise of options, pursuant to any employee or director stock option or benefits plan, stock ownership plan or dividend reinvestment plan (but not Class A Ordinary Shares subject to a waiver to exceed plan limits in its dividend reinvestment plan) of the Company whether now in effect or hereafter implemented; (2) Class A Ordinary Shares issuable upon conversion of securities or the exercise of warrants, options or other rights in effect or outstanding, and disclosed in filings by the Company available on EDGAR or otherwise in writing to Sales Agent; and (3) Class A Ordinary Shares or securities convertible into or exercisable for Class A Ordinary Shares as consideration for mergers, acquisitions, other business combinations, licensing agreements or strategic alliances, or offered and sold in a privately negotiated transaction to vendors, customers, strategic partners or potential strategic partners who are qualified institutional buyers and not more than three Persons that are “accredited investors” within the meaning of such term under paragraph (a)(1), (a)(2), (a)(3), (a)(7), or (a)(8) of Rule 501 under the Securities Act and otherwise conducted in a manner so as not to be integrated with the offering of Class A Ordinary Shares hereby. In addition, we must provide the Sales Agent notice at least three (3) business days prior to entering into any private or public offering of equity.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the Sales Agent commissions for its services in acting as our sales agent in the sale of our Class A Ordinary Shares pursuant to the Sales Agreement. The Sales Agent will be entitled to compensation at a fixed commission rate of 3.0% of the gross proceeds from the sale of our Class A Ordinary Shares on our behalf pursuant to the Sales Agreement. We have agreed to reimburse the Sales Agent for its reasonable and documented out-of-pocket expenses (including but not limited to the reasonable and documented fees and expenses of its legal counsel) in an amount of (a) $75,000 upon filing with the Commission of the Prospectus and (b) for so long as an offering is open the Company will pay the actual, accountable legal fees incurred by Aegis in connection with updating due diligence in connection with the offering equal to (i) $2,500 following each filing of semi-annual financials and (ii) $7,500 following each filing of an annual report on Form 20-F.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for this offering, excluding compensation payable to the Sales Agent, and certain expenses reimbursable to the Sales Agent, under the terms of the Sales Agreement, will be approximately $85,000. The remaining sales proceeds, after deducting any expenses payable by us and any transaction fees imposed by any governmental, regulatory, or self-regulatory organization in connection with the sales, will equal our net proceeds for the sale of such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Class A Ordinary Shares on our behalf, the Sales Agent will be deemed to be an “underwriter” within the meaning of the Securities Act, and the compensation of the Sales Agent will be deemed to be underwriting commissions or discounts.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 will not engage in any market making activities involving our Class A Ordinary Shares while the offering is ongoing under this prospectus supplement if such activity would be prohibited under Regulation M or other anti-manipulation rules under the Exchange Act or the Securities Act. As our sales agent, the Sales Agent will not engage in any transactions that stabilize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Sales Agent against certain civil liabilities, including liabilities under the Securities Act and the Exchange Act, and to contribute to payments that the Sales Agent may be required to make in respect of such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“YAAS.”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activities, the Sales Agent and its affiliates may make or hold a broad array of investments and actively trade debt and equity securities (or related derivative securities) and financial instruments (including bank loans) for its own account and for the accounts of its customers. Such investments and securities activities may involve securities and/or instruments of ours or our affiliates.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Agent and its affiliates may in the future provide various investment banking, commercial banking, financial advisory, and other financial services for us and our affiliates, for which services they may in the future receive customary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Regulatory Restrictions on Purchase of Securities Offered Hereby Generally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Kaufman &amp; Canoles, P.C. is acting as counsel to our company regarding U.S. securities law. Ogier is acting as counsel to our company regarding Cayman Islands law. The validity of the Class A Shares offered hereby will be passed upon for us by Ogier. Certain legal matters as to PRC law will be passed upon for us by Jingtian &amp; Gongcheng. Kaufman &amp; Canoles, P.C. may rely upon Jingtian &amp; Gongcheng with respect to matters governed by PRC law and on Ogier with respect to matters governed by Cayman law. Certain legal matters in connection with this offering will be passed upon for the Sales Agent by Sichenzia Ross Ference Carmel LLP, New York, New York.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Marcum Asia CPAs LLP, an independent registered public accounting firm, has audited our consolidated financial statements as of September 30, 2025, 2024 and 2023, and for each of the years in the three-year period ended September 30, 2025, included in our Annual Report on Form 20-F for the fiscal year ended September 30, 2025, which is incorporated by reference into this prospectus and elsewhere in the registration statement in reliance on the report of Marcum Asia CPAs LLP.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GGF CPA LTD, an independent registered public accounting firm, has audited the consolidated financial statements of Celnet Technology Co., Ltd. and its subsidiaries as of September 30, 2025 and 2024, and for each of the two years in the period ended September 30, 2025, included in our Report on Form 6-K furnished to the SEC on April 21, 2026, which is incorporated by reference into this prospectus and elsewhere in the registration statement in reliance on the report of GGF CPA LTD.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applicable to foreign private issuers and file annual reports on Form 20-F and furnish reports on Form 6-K and other information with the SEC. This prospectus does not contain all of the information set forth in the registration statement or the exhibits that are a part of the registration statement.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Our filings with the SEC are also available to the public through the SEC’s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and schedules attached to the registration statement and the information incorporated by reference,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below in “Where You Can Find More Information.” The documents we are incorporating by reference into this prospectus are: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January 28,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Our Current Reports on Form 6-K, filed with the SEC on </w:t>
        </w:r>
        <w:r>
          <w:rPr>
            <w:rFonts w:ascii="Times New Roman" w:cs="Times New Roman" w:eastAsia="Times New Roman" w:hAnsi="Times New Roman"/>
            <w:sz w:val="18"/>
            <w:szCs w:val="18"/>
            <w:u w:val="single" w:color="auto"/>
            <w:color w:val="0000EE"/>
          </w:rPr>
          <w:t>January 29,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April 27, 2026</w:t>
        </w:r>
      </w:hyperlink>
      <w:hyperlink r:id="rId31">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Shares contained in our Registration Statement on </w:t>
      </w:r>
      <w:hyperlink r:id="rId3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registering our Class A Shares under Section 12(b) under the Exchange Act,  filed with the SEC on December 13, 2024.</w:t>
      </w:r>
    </w:p>
    <w:p>
      <w:pPr>
        <w:spacing w:after="0" w:line="162" w:lineRule="exact"/>
        <w:rPr>
          <w:rFonts w:ascii="Times New Roman" w:cs="Times New Roman" w:eastAsia="Times New Roman" w:hAnsi="Times New Roman"/>
          <w:sz w:val="18"/>
          <w:szCs w:val="18"/>
          <w:color w:val="0000EE"/>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9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obtain a copy of these filings, without charge, by writing or calling us at:</w:t>
      </w:r>
    </w:p>
    <w:p>
      <w:pPr>
        <w:spacing w:after="0" w:line="22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Youxin Technology Ltd</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Room 1005, 1006, 1007, No. 122 Huangpu Avenue West, Tianhe District, Guangzhou, Guangdong Province,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Tel: +86 13631357745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Website: https://www.ir.youxin.cloud/</w:t>
      </w:r>
    </w:p>
    <w:p>
      <w:pPr>
        <w:spacing w:after="0" w:line="207"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YOUXIN TECHNOLOGY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677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25717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on terms we may determine at the time of offering, any combination of Class A ordinary shares of par value $0.008 per share of the Company (the “Class A Shares”), warrants, rights, share purchase contracts, share purchase units or units (collectively, the “Securities”) having an aggregate initial offering price of up to $100,000,000.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specific terms of these Securities in supplements to this prospectus. The prospectus supplement may also add, update or change information in this prospectus. Before you invest, we urge you to read carefully this prospectus and any prospectus supplement, as well as the documents incorporated by reference or deemed to be incorporated by reference into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Shares are listed on the NASDAQ Capital Market under the symbol “YAAS”. On May 8, 2026, the closing sale price of our Class A Shares as reported by the NASDAQ Capital Market was $0.96. We have not offered any securities pursuant to General Instruction I.B.5 of Form F-3 during the prior 12 calendar month period that ends on and includes the date of this prospectus. We will provide information in any applicable prospectus supplement regarding any listing of securities other than our Class A Shares on any securities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references to “we”, “us”, “our Company,” “the Company,” or “our” are to Youxin Technology Ltd and its subsidiaries. “RMB,” “Renminbi” and “¥” are to the legal currency of China and all references to “USD,” “U.S. dollars,” “dollars,” and “$” are to the legal currency of the United States.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two classes of shares, the Class A Shares being offered and the Class B Ordinary Shares, par value $0.0001 per share (“Class B Shares”). The rights of holders of our Class A Shares and holders of our Class B Shares are essentially identical except for voting and conversion rights. The holders of Class A Shares are entitled to 1 vote per share and the holders of the Class B Shares are entitled to 20 votes per share. Each Class B Share is convertible into one Class A Share under certain circumstances. See “Description of Share Capital” for more information on our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voting trust known as the Youxin BM Trust, with Kastle Limited as the Trustee, owns and will continue to own at least 50% of the voting power of our Company after the closing of this offering; therefore we are a “controlled company” as defined under Nasdaq Listing Rules. Additionally, our founding shareholder and Chief Executive Officer, Mr. Shaozhang Lin, beneficially owned 61.75 % of our total voting power through his beneficial ownership of 49,287 Class A Shares and 5,605,727 Class B Shares; and all of which had been transferred to Youxin BM Trust. See </w:t>
      </w:r>
      <w:r>
        <w:rPr>
          <w:rFonts w:ascii="Times New Roman" w:cs="Times New Roman" w:eastAsia="Times New Roman" w:hAnsi="Times New Roman"/>
          <w:sz w:val="18"/>
          <w:szCs w:val="18"/>
          <w:i w:val="1"/>
          <w:iCs w:val="1"/>
          <w:color w:val="auto"/>
        </w:rPr>
        <w:t>Implications of Being a 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on page 14. Even if we qualify as a “controlled company,” we do not intend to rely on the controlled company exemptions provided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Listing Rules. For more information about risks relating to “controlled company”, see “</w:t>
      </w:r>
      <w:r>
        <w:rPr>
          <w:rFonts w:ascii="Times New Roman" w:cs="Times New Roman" w:eastAsia="Times New Roman" w:hAnsi="Times New Roman"/>
          <w:sz w:val="18"/>
          <w:szCs w:val="18"/>
          <w:i w:val="1"/>
          <w:iCs w:val="1"/>
          <w:color w:val="auto"/>
        </w:rPr>
        <w:t>Risk Factors – As a ‘controlled company’ under the rules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Nasdaq Capital Market, we may choose to exempt our company from certain corporate governance requirements that could have an adverse effect on our public Class A shareholders</w:t>
      </w:r>
      <w:r>
        <w:rPr>
          <w:rFonts w:ascii="Times New Roman" w:cs="Times New Roman" w:eastAsia="Times New Roman" w:hAnsi="Times New Roman"/>
          <w:sz w:val="18"/>
          <w:szCs w:val="18"/>
          <w:color w:val="auto"/>
        </w:rPr>
        <w:t>” on page 56.</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are a holding company incorporated in the Cayman Islands, and we operate our core businesses through our subsidiary in the People’s Republic of China (“PRC” or “Mainland China”). We do not, and currently have no plans to conduct operations in Hong Kong, Macau or Taiwan. </w:t>
      </w:r>
      <w:r>
        <w:rPr>
          <w:rFonts w:ascii="Times New Roman" w:cs="Times New Roman" w:eastAsia="Times New Roman" w:hAnsi="Times New Roman"/>
          <w:sz w:val="18"/>
          <w:szCs w:val="18"/>
          <w:b w:val="1"/>
          <w:bCs w:val="1"/>
          <w:color w:val="auto"/>
        </w:rPr>
        <w:t>This is an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the Class A Shares of the Cayman Islands holding company, which does not conduct operations. You are not investing in Guangzhou Youxin Technology Co., Ltd., the PRC operating company, and may never hold equity in our PRC operating subsidiary. </w:t>
      </w:r>
      <w:r>
        <w:rPr>
          <w:rFonts w:ascii="Times New Roman" w:cs="Times New Roman" w:eastAsia="Times New Roman" w:hAnsi="Times New Roman"/>
          <w:sz w:val="18"/>
          <w:szCs w:val="18"/>
          <w:color w:val="auto"/>
        </w:rPr>
        <w:t>Therefore, the availability of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us to pay dividends to our shareholders and to service our indebtedness depends upon dividends received from the PRC subsidiary. If the PRC subsidiary incurs debt or losses, its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subsidiary may enter into in the future may also restrict the ability of our subsidiary to pay dividends to us. These restrictions on the availability of our funding may impact our ability to pay dividends to our shareholders and to service our indebtedness. As of the date of this prospectus, none of our subsidiaries has made any dividends or distributions to our company and our company has not made any dividends or distributions to our shareholders. Since the incorporation of our Cayman Islands holding company, no cash flows or transfer of other assets have occurred between our Cayman Islands holding company and our subsidiaries. The cross-border transfer of funds within our corporate group under our direct holding structure in the future must be compliant with relevant laws and regulations of China. In utilizing the proceeds from this offering, as an offshore holding company, we are permitted under PRC laws and regulations to provide funding to the PRC operating entity only through loans or capital contributions subject to applicable government reporting, registration and approvals. See “USE OF PROCEEDS” on page 63, and “RISK FACTORS — </w:t>
      </w:r>
      <w:r>
        <w:rPr>
          <w:rFonts w:ascii="Times New Roman" w:cs="Times New Roman" w:eastAsia="Times New Roman" w:hAnsi="Times New Roman"/>
          <w:sz w:val="18"/>
          <w:szCs w:val="18"/>
          <w:i w:val="1"/>
          <w:iCs w:val="1"/>
          <w:color w:val="auto"/>
        </w:rPr>
        <w:t>Risks Related to Doing Business in China — Failure to comply with PRC regulation of loans to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direct investment in PRC entities by offshore holding companies and of currency conversion may delay or prevent us from using the proceeds of this offering to make loans or additional capital contributions to our subsidiaries, which could materially and adversely affect our liquidity and ability to fund and expand our business” </w:t>
      </w:r>
      <w:r>
        <w:rPr>
          <w:rFonts w:ascii="Times New Roman" w:cs="Times New Roman" w:eastAsia="Times New Roman" w:hAnsi="Times New Roman"/>
          <w:sz w:val="18"/>
          <w:szCs w:val="18"/>
          <w:color w:val="auto"/>
        </w:rPr>
        <w:t>on page 43. We may encounter difficulties in our ability to transfer cash within our organization in the future, if we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applicable PRC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2"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U.S. federal securities laws and will be subject to reduced public company reporting requirements. See “Prospectus Summary — Implications of Being an Emerging Growth Company” and “Prospectus Summary — Implications of Being a Foreign Private Issuer.”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including the risk of losing your entire investment. See “Risk Factors” beginning on page 16 to read about factors you should consider before buying our ordinary shares.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conduct our operations in Mainland China, we are subject to legal and operational risks associated with having our operations in Mainland China, including risks related to the legal, political and economic policies of the PRC government, the relations between China and the United States, or Chinese or United States regulations, which risks could result in a material change in our operations and/or cause the value of our ordinary shares to significantly decline or become worthless and affect our ability to offer or continue to offer securities to investors. We face risks arising from the legal system in China, including that certain rules and regulations in China can change quickly with little advance notice and the risk that the Chinese government may intervene or influence our operations in accordance with applicable laws and regulations.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which could impact our ability to conduct our business, accept foreign investments, or list on a U.S. or other foreign exchange. On October 29, 2021, the Cyberspace Administration of China (“CAC”) published the Draft Outbound Data Transfer Security Assessment Measures (the “Draft Outbound Data Transfer Security Assessment Measures”). On July 7, 2022, the Outbound Data Transfer Security Assessment Measures (the “Outbound Data Transfer Security Assessment Measures”) formally promulgated, which became effective from September 1, 2022. The Outbound Data Transfer Security Assessment Measures stipulates the circumstances under which security assessment of outbound data transfers should be declared, including: (i) outbound transfer of important data, which means any data, the tampering, damage, leakage, or illegal acquisition or use of which, if it happens, may endanger national security, the operation of the economy, social stability, public health and security,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w:t>
      </w:r>
    </w:p>
    <w:p>
      <w:pPr>
        <w:spacing w:after="0" w:line="11" w:lineRule="exact"/>
        <w:rPr>
          <w:sz w:val="20"/>
          <w:szCs w:val="20"/>
          <w:color w:val="auto"/>
        </w:rPr>
      </w:pPr>
    </w:p>
    <w:p>
      <w:pPr>
        <w:jc w:val="both"/>
        <w:ind w:firstLine="8"/>
        <w:spacing w:after="0" w:line="251" w:lineRule="auto"/>
        <w:tabs>
          <w:tab w:leader="none" w:pos="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circumstances where an application for the security assessment of an outbound data transfer is required as prescribed by the national cyberspace administration authority. On December 28, 2021, the Measures for Cybersecurity Review (2021 version) was promulgated and became effective on February 15, 2022, which iterates that any “online platform operators” controlling personal information of more than one million users which seeks to list in a foreign stock exchange should apply for cybersecurity review. We are not in possession of personal information of over one million users and we do not expect to have personal information of more than one million users prior to this offering. In view of the above, and based on the advice of our PRC legal counsel, Jingtian &amp; Gongcheng, we believe that we are not subject to the cybersecurity review application requirements for this offering under the Measures for Cybersecurity Review (2021 version). As of the date of this prospectus, we have not been involved in any investigations on cybersecurity review initiated by the CAC, and we have not received any warning, sanction or penalty in such respect. However, since the Measures for Cybersecurity Review (2021 version) was recently adopted and there are currently no detailed interpretation or implementing rules regarding its application thereof, we could be subject to cybersecurity review, and if so, there is no assurance that we would be able to pass such review in relation to this offering in a timely manner or at all. In addition, we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us, which may have material adverse effect on our business, financial condition or results of operations. See “Risk Factors – Risks Related to Doing Business in China – </w:t>
      </w:r>
      <w:r>
        <w:rPr>
          <w:rFonts w:ascii="Times New Roman" w:cs="Times New Roman" w:eastAsia="Times New Roman" w:hAnsi="Times New Roman"/>
          <w:sz w:val="18"/>
          <w:szCs w:val="18"/>
          <w:i w:val="1"/>
          <w:iCs w:val="1"/>
          <w:color w:val="auto"/>
        </w:rPr>
        <w:t>We face challenges from the evolving regulatory environment and user attitude toward 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protection. Actual or alleged failure to comply with data privacy and protection laws and regulations could materially and adversely affect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The Anti-Monopoly Law of the People’s Republic of China, which took effect in 2008 and was amended on June 24, 2022, which amendment became effective August 1, 2022 (the “Anti-Monopoly Law”), established additional procedures and requirements with respect to merger and acquisition activities by foreign investors Under the Anti-Monopoly Law, companies undertaking acquisitions relating to businesses in China must notify the State Council’s anti-monopoly law enforcement authority, in advance of any transaction where the parties’ revenue in the China market exceed certain thresholds and the buyer would obtain control of, or decisive influence over, the target. We also have not implemented monopolistic behaviors including monopoly agreements, abuse of a dominant position and concentration of undertakings that may have the effect to eliminate or restrict competition in the field of platform economy. However, since we anticipate that long term success in China’s market will require consolidation of the many small participants in that market, and our goal is to be one of the survivors of that consolidation, when it happens. As of the date of this prospectus, we have not been involved in any investigations on anti-monopoly initiated by the related governmental regulatory authorities, and we have not received any inquiry, notice, warning, or sanction in such respect.</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Pursuant to the Trial Administrative Measures, if the issuer meets both the following criteria, the overseas securities offering and listing conducted by such issuer is deemed an indirect overseas offering by PRC domestic companies: (i) 50% or more of any of the issuer’s operating revenue, total profit, total assets or net assets as documented in its audited consolidated financial statements for the most recent fiscal year is attributed to PRC domestic companies; and (ii) the main parts of the issuer’s business activities are conducted in the PRC, or its main business place(s)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PRC domestic companies under the Trial Administrative Measures and we are therefore subject to the filing requirements for this offering thereunder. New Administrative Rules Regarding Overseas Listings also provide that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We submitted the filing materials to the CSRC in connection with our initial public offering pursuant to the Trial Administrative Measures on June 7, 2023, and on February 7, 2024, we received from the CSRC a filing notice which indicated that we had completed the required filing application procedures for our initial public offering. For this offering, we are required to submit a filing with the CSRC within three business days after the completion of an offering made pursuant to this prospectus and may be subject to the filing requirements under the New Administrative Rules Regarding Overseas Listings for our future offerings and listing of our securities in an overseas market under the New Administrative Rules Regarding Overseas Listings. Also on March 31, 2023, the Provisions on Strengthening Confidentiality and Archives Administration of Overseas Securities Offering and Listing by Domestic Companies (the “Confidentiality and Archives Administration Provisions”) promulgated by the CSRC and other three government authorities became effective. According to the Confidentiality and Archives Administration Provisions, domestic companies that seek overseas offering and listing (either in direct or indirect means), the securities companies and securities service (either incorporated domestically or overseas) providers that undertake relevant businesses shall not leak any state secret or working secret of government agencies, or harm national security and public interests. Furthermore, a domestic company that provides accounting archives or copies of accounting archives to any entities, including securities companies, securities service providers and overseas regulators and individuals, shall fulfill due procedures in compliance with applicable regulations. We believe that this offering does not involve the leaking of any state secret or working secret of government agencies, or the harming of national security and public interests. However, we may be required to perform additional procedures in connection with the provision of accounting archives. Since the New Administrative Rules Regarding Overseas Listings are newly promulgated, and there is currently no detailed interpretation and implementation in all aspects thereof, we cannot assure you that we will be able to complete the relevant filings in a timely manner or fulfil all the regulatory requirements thereunder. Any failure of us to fully comply with new regulatory requirements may significantly limit or completely hinder our ability to offer or continue to offer our ordinary shares. Furthermore, the Ministry of Commerce (“MOFCOM”) and the National Development and Reform Commission (“NDRC”) promulgated the Special Administrative Measures for Access of Foreign Investment (2024 Edition), or the Negative List (2024) which replaced the Special Administrative Measures for Access of Foreign Investment (2021 Edition), or the Negative List (2021). Both Negative List (2024) and Negative List (2021) stipulate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As of the date of this prospectus, we are not engaged in business classified as a prohibited investment field under the Negative List (2024), and we also have not been involved in any investigations initiated by the above applicable governmental regulatory authorities, nor have we received any inquiry, notice, warning, or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Our ordinary shares may be prohibited from trading on a national exchange or in the “over-the-counter” markets in the United States under the Holding Foreign Companies Accountable Act (the “HFCA Act”) if the Public Company Accounting Oversight Board (“PCAOB”) is unable to inspect our auditors for three consecutive years beginning in 2021. Furthermore, on June 22, 2021, the U.S. Senate passed the Accelerating Holding Foreign Companies Accountable Act (“AHFCAA”) and the U.S. House of Representatives introduced the AHFCAA on December 14, 2021, referring it to the House Committee on Financial Services. Pursuant to the HFCA Act, the PCAOB issued a Determination Report on December 16, 2021, which found that the PCAOB is unable to inspect or investigate completely registered public accounting firms headquartered in: (1) Mainland China, and (2) Hong Kong. In addition, the PCAOB’s report identified the specific registered public accounting firms which are subject to these determinations.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On December 15, 2022, the PCAOB Board determined that the PCAOB was able to secure complete access to inspect and investigate registered public accounting firms headquartered in Mainland China and Hong Kong and voted to vacate its previous determinations to the contrary. On December 29, 2022, the Accelerating Holding Foreign Companies Accountable Act was signed into law as part of the “Consolidated Appropriations Act, 2023” (the “Consolidated Appropriations Act”), reducing the number of consecutive non-inspection years required for triggering the prohibitions under the HFCA Act from three years to two. However, should PRC authorities obstruct or otherwise fail to facilitate PCAOB’s access in the future, the PCAOB Board will consider the need to issue a new determination. These developments could add uncertainties to our offering.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auditor is currently subject to PCAOB inspections and the PCAOB is able to inspect our auditor. Our auditor, Marcum Asia CPAs LLP, is headquartered in New York City, New York, and has been inspected by the PCAOB on a regular basis. Our auditor is not headquartered in Mainland China or Hong Kong. Marcum Asia was not subject to the determinations announced by the PCAOB on December 16, 2021. As such, as of the date of this prospectus, our offering is not affected by the HFCA Act, the Consolidated Appropriations Act, and related regulations. Notwithstanding the foregoing, in the future, if there is any regulatory change or step taken by PRC regulators that does not permit Marcum Asia CPAs LLP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 See “Risk Factors – Risks Related to Doing Business in China — </w:t>
      </w:r>
      <w:r>
        <w:rPr>
          <w:rFonts w:ascii="Times New Roman" w:cs="Times New Roman" w:eastAsia="Times New Roman" w:hAnsi="Times New Roman"/>
          <w:sz w:val="18"/>
          <w:szCs w:val="18"/>
          <w:i w:val="1"/>
          <w:iCs w:val="1"/>
          <w:color w:val="auto"/>
        </w:rPr>
        <w:t>“There is no assurance that future audit reports will be prepared by auditors able to be inspected or investigated completely by the PCAOB,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they are not, our ordinary shares may be prohibited from being traded on a national exchange under the HFCA Act. The delisting of our ordinary shares, or the threat of being delisted, may materially and adversely affect the value of your investment.” on pages 52 for more information.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360" w:type="dxa"/>
            <w:vAlign w:val="bottom"/>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53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540" w:type="dxa"/>
            <w:vAlign w:val="bottom"/>
            <w:tcBorders>
              <w:top w:val="single" w:sz="8" w:color="CCEEFF"/>
            </w:tcBorders>
            <w:gridSpan w:val="4"/>
          </w:tcPr>
          <w:p>
            <w:pPr>
              <w:spacing w:after="0"/>
              <w:rPr>
                <w:sz w:val="15"/>
                <w:szCs w:val="15"/>
                <w:color w:val="auto"/>
              </w:rPr>
            </w:pPr>
          </w:p>
        </w:tc>
        <w:tc>
          <w:tcPr>
            <w:tcW w:w="136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620" w:type="dxa"/>
            <w:vAlign w:val="bottom"/>
            <w:tcBorders>
              <w:bottom w:val="single" w:sz="8" w:color="CCEEFF"/>
            </w:tcBorders>
            <w:gridSpan w:val="19"/>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8300" w:type="dxa"/>
            <w:vAlign w:val="bottom"/>
            <w:tcBorders>
              <w:top w:val="single" w:sz="8" w:color="CCEEFF"/>
            </w:tcBorders>
            <w:gridSpan w:val="16"/>
          </w:tcPr>
          <w:p>
            <w:pPr>
              <w:spacing w:after="0"/>
              <w:rPr>
                <w:sz w:val="15"/>
                <w:szCs w:val="15"/>
                <w:color w:val="auto"/>
              </w:rPr>
            </w:pPr>
          </w:p>
        </w:tc>
        <w:tc>
          <w:tcPr>
            <w:tcW w:w="1360" w:type="dxa"/>
            <w:vAlign w:val="bottom"/>
            <w:tcBorders>
              <w:top w:val="single" w:sz="8" w:color="CCEEFF"/>
            </w:tcBorders>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6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5"/>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OTHER SECURITIES</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8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SHARE PURCHASE CONTRACTS AND SHARE PURCHASE UNITS</w:t>
            </w:r>
          </w:p>
        </w:tc>
        <w:tc>
          <w:tcPr>
            <w:tcW w:w="3060" w:type="dxa"/>
            <w:vAlign w:val="bottom"/>
            <w:tcBorders>
              <w:bottom w:val="single" w:sz="8" w:color="CCEEFF"/>
            </w:tcBorders>
            <w:gridSpan w:val="2"/>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EXPENSES RELATING TO THIS OFFERING</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420" w:type="dxa"/>
            <w:vAlign w:val="bottom"/>
            <w:tcBorders>
              <w:top w:val="single" w:sz="8" w:color="CCEEFF"/>
            </w:tcBorders>
            <w:gridSpan w:val="17"/>
          </w:tcPr>
          <w:p>
            <w:pPr>
              <w:spacing w:after="0"/>
              <w:rPr>
                <w:sz w:val="15"/>
                <w:szCs w:val="15"/>
                <w:color w:val="auto"/>
              </w:rPr>
            </w:pPr>
          </w:p>
        </w:tc>
        <w:tc>
          <w:tcPr>
            <w:tcW w:w="1360" w:type="dxa"/>
            <w:vAlign w:val="bottom"/>
            <w:tcBorders>
              <w:top w:val="single" w:sz="8" w:color="CCEEFF"/>
            </w:tcBorders>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INTERESTS OF NAMED EXPERTS AND COUNSEL</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5840" w:type="dxa"/>
            <w:vAlign w:val="bottom"/>
            <w:tcBorders>
              <w:bottom w:val="single" w:sz="8" w:color="CCEEFF"/>
            </w:tcBorders>
            <w:gridSpan w:val="7"/>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9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1360" w:type="dxa"/>
            <w:vAlign w:val="bottom"/>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6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offer from time to time, in one or more offerings, securities having an aggregate initial offering price of up to $100,000,000 (or its equivalent in foreign or composite currencies). This prospectus provides you with a general description of the securities that may be offered. Each time we offer securities under this shelf registration statement, we will provide you with a prospectus supplement that describes the specific amounts, prices and terms of the securities being offered. The prospectus supplement also may add, update or change information contained in this prospectus. You should read carefully both this prospectus and any prospectus supplement together with additional information described below under the caption “Where You Can Find More Information,” before making an investment decision. We have incorporated exhibits into this registration statement. You should read the exhibits carefully for provisions that may be important to you.</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securities through underwriters or dealers, through agents, directly to purchasers or through a combination of these methods. We and our agents reserve the sole right to accept or reject, in whole or in part, any proposed purchase of securities. The prospectus supplement, which we will provide to you each time we offer securities, will set forth the names of any underwriters, agents or others involved in the sale of securities and any applicable fee, commission or discount arrangements with them. See the information described below under the heading “Plan of Distribution.”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references in this prospectus to “$,” “U.S.$,” “U.S. dollars,” “dollars” and “USD” mean U.S. dollars and all references to “RMB” mean Renminbi, unless otherwise noted. All references to “PRC”, or “China” in this prospectus refer to the People’s Republic of China. All references to “Mainland China” are to the mainland of the People’s Republic of China without reference to Taiwan and the Hong Kong Special Administrative Region of China (“Hong Kong”) and Macau Special Administrative Regions of the People’s Republic of China (“Macau”) for purposes of this prospectus only. Under the context of laws, regulations and rules, “China” or “the PRC” refers to only such laws, regulations and rules of Mainland China. Under the context of government, governmental authorities, regulatory agencies, courts, jurisdictions, tax entities and enterprises, individuals and residents of “China” or “the PRC” or “Chinese”, such terms refer to only such government, governmental authorities, regulatory agencies, courts, jurisdictions, tax entities and enterprises, individuals and residents of Mainland China. “PRC laws and regulations” refer to the laws and regulations of the PRC, without reference to the laws and regulations of Hong Kong, Macau and Taiwan.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 and per share amounts disclosed in this prospectus give retroactive effect, for all periods presented, to the one-for-eighty reverse stock split of our Class A Ordinary Shares effected on September 30,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and Section 21E of the Securities Exchange Act of 1934. The words “anticipate,” “expect,” “believe,” “goal,” “plan,” “intend,” “estimate,” “may,” “will,” and similar expressions and variations thereof are intended to identify forward-looking statements, but are not the exclusive means of identifying such statements. Any statements regarding the intent, belief or current expectations of the Company and management that are subject to known and unknown risks, uncertainties and assumptions are considered forward-looking statements. You are cautioned that any such forward-looking statements are not guarantees of future performance and involve risks and uncertainties, and that actual results may differ materially from those projected in the forward-looking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Investors are cautioned that you are purchasing ordinary shares of our Cayman Islands holding company in this public offering instead of purchasing equity securities of our subsidiaries that have business operations in China. This corporate structure involves unique risks.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summary highlights certain information appearing elsewhere in this prospectus. As this is a summary, it does not contain all of the information that you should consider in making an investment decision. You should read the entire prospectus carefully, including the information under “Risk Factors,” “Management’s Discussion and Analysis of Financial Condition and Results of Operations” and our consolidated financial statements and the related notes thereto included in this prospectus, before investing. This prospectus includes forward-looking statements that involve risks and uncertainties. See “Special Note Regarding Forward-Looking Statements.” Unless the context otherwise requires, the terms “we,” “us,” “our,” the “Group,” “our company” and “Youxin” used in this prospectus refer to Youxin Technology Ltd and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SaaS and PaaS provider committed to helping retail enterprises digitally transforming their businesses to develop, use and control business applications without the need to purchase complex IT infrastructure. We leverage the capabilities of our AI + PaaS platform to highly customize digital scenarios for our clients, extending beyond CRM services to include HRM and OA (Office Automation). This seamlessly connects all levels of the relationship chain from management teams to end-users. Our product offers clients a comprehensive, real-time view of their business operations across multiple interfaces, empowering them to make critical business decisions anytime, anywhere..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have developed one of the few PaaS platforms in Mainland China that can build complex external digital applications (especially transaction-related distribution, store, and e-commerce clouds), which can mass-produce SaaS products from our PaaS platform. We serve the entire enterprise-application market, using PaaS-generated SaaS applications to cover customers’ digital scenarios.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there is substantial market opportunity for our SaaS product and PaaS platform in China. According to CIC, the market for retail public cloud services in China, including ours, has experienced rapid growth over the past five years and is projected to maintain this steady rate of expansion for the next five years. As the demand for cloud-based solutions continues to rise, we believe clients will increasingly turn to public cloud services to streamline their operations, reduce costs, and enhance their overall performance.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customers in need of digitalization, traditional IT solutions cause their data to be scattered across various systems, making it difficult to get an overall view of their operations. The need for data integration and unified operation increases the demand for personalized integrated systems in which all software or terminals are fully interconnected, offering multiple data interfaces, and eliminating the problem of data silos. These larger, faster, and more complex systems capable of handling massive amounts of data and hybrid online and offline business management are needed to meet the clients’ increasing IT demands and to streamline their operations, reduce redundancy, and increase productivity and profitability.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the demands for customized and personalized SaaS products, traditional IT service companies in China must devote substantial resources because they lack standardized platforms capable of delivering personalized data integration and unified operations. Such traditional approaches can often be inefficient due to poor product replicability, heavy delivery and operation modes, and a significant drain on resources.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company is uniquely positioned to meet these needs for mid-tier brands in Mainland China. We specialize in supporting mid-tier brands that heavily rely on offline direct distribution with high volume IT update requirements. We provide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had 12 and 13 customers purchase our professional services and the payment channel services in fiscal year 2024 and 2025, respectively, primarily in the fast-moving consumer goods, cosmetics, and food and drink sectors. Our PaaS platform empowered us to develop highly customized CRM SaaS products for some leading brands such as P&amp;G Guangzhou and Lancang Ancient Tea. Our net losses increased from approximately RMB9.23 million ($1.28 million) for the year ended September 30, 2024 to approximately RMB69.57 million ($9.65 million) for the year ended September 30, 2025. Our revenues increased by 3% from RMB3.76 million ($0.52 million) in fiscal year 2024 to RMB3.89 million ($0.54 million) in fiscal year 2025 and our gross profit decreased from RMB2.46 million ($0.34 million) in fiscal year 2024 to RMB1.30 million ($0.18 million) in fiscal year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revenue from professional services, payment channel services, and other revenues. Professional Services revenue are mostly derived from CRM system development services, additional function development services and subscription services. The CRM system development services include process design, project management, system deployment and implementation, and launch to trial operation and acceptance. Additional function development services are based on fulfilling the additional needs of customers for customized CRM systems. Subscription revenues are derived from subsequent maintenance or update services to the customer. Our company charges an annual service fee as long as the customer is still using the constructed CRM system based on the number of user accounts over the subscription period. Contracts are generally one year and full payment is generally collected in advance. Our company also enables the user to make with payment services thought our CRM system, such as top up, withdraw or transaction etc. Our company charges an agreed proportion of the transaction for the payment channel services. Lastly, our company charges a license fee to companies who provide services to their own customers based on our SaaS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PRC Regulatory Permissions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our PRC subsidiaries have obtained all requisite permissions and approvals that are required and material to engage in the businesses currently conducted in Mainland China, and we have not received any denials in permissions for our Mainland China business operations. Our operations in Mainland China are governed by PRC laws and regulations, pursuant to which our PRC subsidiaries, the WFOE and Guangzhou Youxin, are required to obtain business licenses issued by the PRC State Administration for Market Regulation or its local counterparts for operations. In addition, for purposes of Youxin Cloud’s operations, Guangzhou Youxin shall complete the Level-III filing on information system security protection competency with the Public Security Bureau in accordance with applicable PRC laws and regulations. The following table provides details on the licenses and permissions held by our PRC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License/Permission</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Issuing Authority</w:t>
            </w:r>
          </w:p>
        </w:tc>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Validity</w:t>
            </w:r>
          </w:p>
        </w:tc>
      </w:tr>
      <w:tr>
        <w:trPr>
          <w:trHeight w:val="191"/>
        </w:trPr>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Guangzhou</w:t>
            </w:r>
          </w:p>
        </w:tc>
        <w:tc>
          <w:tcPr>
            <w:tcW w:w="220" w:type="dxa"/>
            <w:vAlign w:val="bottom"/>
          </w:tcPr>
          <w:p>
            <w:pPr>
              <w:spacing w:after="0"/>
              <w:rPr>
                <w:sz w:val="16"/>
                <w:szCs w:val="16"/>
                <w:color w:val="auto"/>
              </w:rPr>
            </w:pPr>
          </w:p>
        </w:tc>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Business License</w:t>
            </w:r>
          </w:p>
        </w:tc>
        <w:tc>
          <w:tcPr>
            <w:tcW w:w="24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Guangzhou Tianhe District Administrative Examination and</w:t>
            </w:r>
          </w:p>
        </w:tc>
        <w:tc>
          <w:tcPr>
            <w:tcW w:w="220" w:type="dxa"/>
            <w:vAlign w:val="bottom"/>
          </w:tcPr>
          <w:p>
            <w:pPr>
              <w:spacing w:after="0"/>
              <w:rPr>
                <w:sz w:val="16"/>
                <w:szCs w:val="16"/>
                <w:color w:val="auto"/>
              </w:rPr>
            </w:pPr>
          </w:p>
        </w:tc>
        <w:tc>
          <w:tcPr>
            <w:tcW w:w="1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Long-term</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Youxin</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Bureau</w:t>
            </w:r>
          </w:p>
        </w:tc>
        <w:tc>
          <w:tcPr>
            <w:tcW w:w="13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Certificate of Level-III filing on information</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Municipal Public Security Bureau</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360" w:type="dxa"/>
            <w:vAlign w:val="bottom"/>
          </w:tcPr>
          <w:p>
            <w:pPr>
              <w:spacing w:after="0"/>
              <w:rPr>
                <w:sz w:val="18"/>
                <w:szCs w:val="18"/>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 security protection</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the WFOE</w:t>
            </w: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License</w:t>
            </w: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Hainan Administration for Market Supervision</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Trial Administrative Measures, we shall fulfill the filing requirements with the CSRC for this offering and for the offering and the listing and trading of our Class A Shares. Other than the filing requirements, we believe that (i) we are not required to submit an application to the CSRC for its approval under the M&amp;A Rules for this offering and the listing and trading of our Class A Shares; and (ii) we are not subject to cybersecurity review with the CAC, under the Measures for Cybersecurity Review (2021 version), which became effective on February 15, 2022, because we are not in possession of personal information of over one million users and we do not expect to have personal information of more than one million users prior to this offering, and we do not believe we or our PRC subsidiaries would constitute an “operator of critical information infrastructure” or our business and activities would affect or may affect national security.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and the advice of our PRC counsel, we believe that as of the date of this prospectus, other than those requisite for a domestic company in Mainland China to engage in businesses similar to ours and the filing procedures with the CSRC, we are not required to obtain any other permissions and approvals from PRC authorities including the CSRC, CAC, or any other governmental agency to operate our business and to offer securities to foreign investors.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there can be no assurance that the relevant government agencies will not take a view that is contrary to or otherwise different from the conclusions stated above. Furthermore, the applicable laws and regulations may change and our PRC subsidiaries may as a result be required to obtain permission from the PRC government to list on the U.S. exchanges in the future, in addition to the CSRC filing under the Trial Administrative Measures, and even when such permission is obtained, we cannot assure you that it will not be denied or rescinded. We have been closely monitoring regulatory developments in China regarding any necessary approvals from the CSRC, CAC or other PRC governmental authorities. However, there remains significant uncertainty as to the enactment, interpretation and implementation of regulatory requirements related to overseas securities offerings and other capital market activities. If our PRC subsidiaries (i) do not receive or maintain such permissions or approvals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and relevant supporting guidelines (collectively, the “New Administrative Rules Regarding Overseas Listings”), which came into force on March 31, 2023. The New Administrative Rules Regarding Overseas Listings regulate both direct and indirect overseas offering and listing of Mainland China domestic companies’ securities by adopting a filing-based regulatory regime. Pursuant to the Trial Administrative Measures, we must file with the CSRC with respect to this offering within three business days upon the completion of the offering. Since the New Administrative Rules Regarding Overseas Listings are newly promulgated, and the competent government authorities have not yet issued any detailed interpretation and implementation in all aspects thereof, there can be no assurance that we will be able to complete the relevant filings in a timely manner or fulfill all the regulatory requirements thereunder. Any failure of us to fully comply with these new regulatory requirements may significantly limit or completely hinder our ability to offer or continue to offer our Ordinary Shares.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and other three government authorities promulgated the Provisions on Strengthening Confidentiality and Archives Administration of Overseas Securities Offering and Listing by Domestic Companies (the “Confidentiality and Archives Administration Provisions”), which also became effective on March 31, 2023. The Confidentiality and Archives Administration Provisions set out rules, requirements and procedures relating to the provision of documents, materials and accounting archives for securities companies, securities service providers, overseas regulators and other entities and individuals in connection with overseas offering and listing, including without limitation to, domestic companies that carry out overseas offerings and listings (either by direct or indirect means) and the securities companies and securities service providers (either incorporated domestically or overseas) that undertake relevant businesses shall not leak any state secret and working secret of government agencies, or harm national security and public interest, and a domestic company shall first obtain approval from competent authorities according to law, and file with the secrecy administrative department at the same level, if it plans to, either directly or through its overseas listed entity, publicly disclose or provide any documents and materials that contain state secrets or working secrets of government agencies. Working papers produced in the Chinese mainland by securities companies and securities service providers in the process of undertaking businesses related to overseas offerings and listing by domestic companies shall be retained in the Mainland China. Where such documents need to be transferred or transmitted outside the Mainland China, relevant approval procedures stipulated by regulations shall be followed. We believe our business operations do not involve leaking any state secret and working secret of government agencies or harming national security and public interest in connection with provision of documents, materials and accounting archives and therefore we do not need to obtain approval from competent PRC authorities in this regard.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2021, the CAC, jointly with the relevant authorities, formally published Measures for Cybersecurity Review (2021) which took effect on February 15, 2022. Measures for Cybersecurity Review (2021) stipulates that operators of critical information infrastructure purchasing network products and services and online platform operators carrying out data processing activities that affect or may affect national security, shall conduct a cybersecurity review. Any online platform operator who controls more than one million users’ personal information must apply for a cybersecurity review by the cybersecurity review office if it seeks to be listed in a foreign country. Since our business does not rely on the collection of user data, we are not operators of critical information infrastructure, and we do not possess more than one million users’ individual information, we believe that we are not subject to a cybersecurity review to issue our Class A Shares or list and trade of our Class A Shares on Nasdaq in connection with this offering under the Measures for Cybersecurity Review (2021). However, no detailed interpretation and implementation rules have been issued and there remains uncertainty as to whether the PRC regulatory agencies, including the CAC, may adopt new laws, regulations, rules, or detailed implementation and interpretation related to the Cybersecurity Review Measures.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2006, six Chinese regulatory agencies, including the Ministry of Commerce of China (the “MOFCOM”), jointly issued the Regulations on Mergers and Acquisitions of Domestic Enterprises by Foreign Investors (the “M&amp;A Rules”), which became effective on September 8, 2006, and amended on June 22, 2009. The M&amp;A Rules contain provisions that require that an offshore special purpose vehicle (“SPV”) formed for listing purposes of the PRC domestic companies and controlled directly or indirectly by Mainland China’s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Given that (i) we are not an SPV which acquires PRC domestic companies’ equity with our shares prior to the listing of our Class A Shares on the Nasdaq, and (ii) there are substantial uncertainties regarding the interpretation and application of PRC laws and regulations and future PRC laws and regulations, we believe that we are not required to submit an application to the CSRC for its approval of this offering and the listing and trading of our Class A Shares on Nasdaq under the M&amp;A Rules. However, there remains uncertainty as to how the M&amp;A Rules will be interpreted or implemented by the relevant PRC authorities, and the opinions summarized above will be subject to any new PRC laws, rules and regulations or detailed implementations and interpretations in any form relating to overseas listing of SPVs like our company. We cannot assure you that relevant PRC government agencies, including the CSRC, would reach the same conclusion as we do.</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laws and regulations.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we might be required to obtain permission from any related PRC government to list our shares on Nasdaq in the future, in addition to the CSRC filing under the Trial Administrative Measures, and even if such permission is obtained, it may be later denied or rescinded, which could significantly limit or completely hinder our ability to conduct our business, accept foreign investments, offer or continue to offer our ordinary shares to investors, list on a U.S. or other foreign exchange and cause the value of our ordinary shares to significantly decline or be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strengths have contributed and will continue to contribute to our growth and are differentiating us from our competitors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 to End Unified Enterprise Solutions</w:t>
      </w:r>
      <w:r>
        <w:rPr>
          <w:rFonts w:ascii="Times New Roman" w:cs="Times New Roman" w:eastAsia="Times New Roman" w:hAnsi="Times New Roman"/>
          <w:sz w:val="18"/>
          <w:szCs w:val="18"/>
          <w:color w:val="auto"/>
        </w:rPr>
        <w:t>. As one of the few providers of domestic applications that can support external digitization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Mainland China, we provide a comprehensive enterprise SaaS product and PaaS platform, with solutions across sales, marketing, and service for a variety of industries and businesses. We also enable merchants to build a 360-degree view of their customers, allowing them to see everything from sales and marketing to commerce.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Best-in-Class Features and Functionality. </w:t>
      </w:r>
      <w:r>
        <w:rPr>
          <w:rFonts w:ascii="Times New Roman" w:cs="Times New Roman" w:eastAsia="Times New Roman" w:hAnsi="Times New Roman"/>
          <w:sz w:val="18"/>
          <w:szCs w:val="18"/>
          <w:color w:val="auto"/>
        </w:rPr>
        <w:t>We stay at the forefront of cloud technology development and have built prominent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capabilities to maintain our technology leadership and upgrade our cloud solutions continuously.</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Abundant Retail Industry Experience. </w:t>
      </w:r>
      <w:r>
        <w:rPr>
          <w:rFonts w:ascii="Times New Roman" w:cs="Times New Roman" w:eastAsia="Times New Roman" w:hAnsi="Times New Roman"/>
          <w:sz w:val="18"/>
          <w:szCs w:val="18"/>
          <w:color w:val="auto"/>
        </w:rPr>
        <w:t>Our business founders and management team have the business experience and insight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and efficient solutions to meet the needs of our clients. With technical expertise and business experience gained from years of work in internet-related industries, our visionary management team with its entrepreneurial spirit has been leading us since our establishment in achieving rapid and continued growth of our business.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Reduced Costs. </w:t>
      </w:r>
      <w:r>
        <w:rPr>
          <w:rFonts w:ascii="Times New Roman" w:cs="Times New Roman" w:eastAsia="Times New Roman" w:hAnsi="Times New Roman"/>
          <w:sz w:val="18"/>
          <w:szCs w:val="18"/>
          <w:color w:val="auto"/>
        </w:rPr>
        <w:t>Retailers using our SaaS product and PaaS platform can save on the heavy investment of setting up and maintaining complex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and multiple SaaS products. By outsourcing complex retail business requirements to us, our clients are able to adopt the latest technologies with purpose-built capabilities for security, compliance and interoperability. This allows our clients to enjoy the same features of high quality fully customized SaaS products for a fraction of the price.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Synergies with Our Partners. </w:t>
      </w:r>
      <w:r>
        <w:rPr>
          <w:rFonts w:ascii="Times New Roman" w:cs="Times New Roman" w:eastAsia="Times New Roman" w:hAnsi="Times New Roman"/>
          <w:sz w:val="18"/>
          <w:szCs w:val="18"/>
          <w:color w:val="auto"/>
        </w:rPr>
        <w:t>As one of 38 member companies in the world selected for Tencent’s Cloud Native Accelerator, we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cooperation in multiple dimensions, such as technology, business, community and funding, to accelerate ecological system construction. Tencent is China’s leading cloud-native enabler.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key elements of our growth strategy include the following, which we believe empower us to further achieve growth and strengthen our market position:</w:t>
      </w:r>
    </w:p>
    <w:p>
      <w:pPr>
        <w:spacing w:after="0" w:line="158" w:lineRule="exact"/>
        <w:rPr>
          <w:sz w:val="20"/>
          <w:szCs w:val="20"/>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Optimizing PaaS platform and SaaS service. </w:t>
      </w:r>
      <w:r>
        <w:rPr>
          <w:rFonts w:ascii="Times New Roman" w:cs="Times New Roman" w:eastAsia="Times New Roman" w:hAnsi="Times New Roman"/>
          <w:sz w:val="18"/>
          <w:szCs w:val="18"/>
          <w:color w:val="auto"/>
        </w:rPr>
        <w:t>We have fostered strong loyalty with existing customers as a result of the high-quality customized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PaaS platform service and solutions we offer, as well as our ability to deliver tangible value to customers by effectively addressing their specific business needs. We intend to leverage the technologies and knowledge gained from creating customized platforms for our clients to create products that are approximately 90% standardized to meet the needs to mid-tier brands in China while also allowing for additional customization to meet the unique demands of any client.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Invest in Infrastructure and Technology. </w:t>
      </w:r>
      <w:r>
        <w:rPr>
          <w:rFonts w:ascii="Times New Roman" w:cs="Times New Roman" w:eastAsia="Times New Roman" w:hAnsi="Times New Roman"/>
          <w:sz w:val="18"/>
          <w:szCs w:val="18"/>
          <w:color w:val="auto"/>
        </w:rPr>
        <w:t>Our cloud platform relies heavily on infrastructure and technology. We allocate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portion of our operating expenses to research and development, including upgrading our infrastructure, improving our cloud technology and developing new products and solutions. We incurred RMB1.14 million ($0.16 million), RMB8.21 million ($1.14 million) and RMB15.18 million ($2.15 million) of research and development expenses for the years ended September 30, 2025, 2024 and 2023, respectively. We intend to continue investing in our infrastructure to provide higher-quality cloud services and improve operation efficiency.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Our Strategic Partner Ecosystem</w:t>
      </w:r>
      <w:r>
        <w:rPr>
          <w:rFonts w:ascii="Times New Roman" w:cs="Times New Roman" w:eastAsia="Times New Roman" w:hAnsi="Times New Roman"/>
          <w:sz w:val="18"/>
          <w:szCs w:val="18"/>
          <w:color w:val="auto"/>
        </w:rPr>
        <w:t>. We value the cooperation with our strategic partners and seek to further enhance our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ecosystem. Our SaaS product and PaaS platform are delivered on a public cloud platform, and we need our vendors to work with us to meet customers’ individualized requirements. We intend to form additional strategic partner relationships with our suppliers, and to accelerate efficient growth via our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Background and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on October 21, 2022, under the laws of the Cayman Islands. Our operating subsidiary in the PRC, Guangzhou Youxin Technology Co., Ltd. was founded on March 12, 2018. Our company has no substantial operations other than holding all of the outstanding share capital of Youxin Cloud (BVI) Ltd, which was established under the laws of the British Virgin Islands on November 10, 2022. Youxin Cloud (BVI) Ltd is also a holding company holding all of the outstanding share capital of Youxin Cloud (HK) Limited which was incorporated on December 13, 2022, under the laws of Hong Kong. Youxin Cloud (HK) Limited is a holding company holding all of the equity of Hainan Youxin Mutual Enterprise Management Co., Ltd., a wholly foreign-owned enterprise in Mainland China, or WFOE, which was incorporated on February 17, 2023, under the laws of the PRC. The WFOE holds all of the equity of Guangzhou Youxin Technology Co., Ltd. Our Class A Shares being offered in this prospectus are shares of Youxin, our Cayman Islands holding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Timeline</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12, 2018: We commenced operations through Guangzhou Youxin Technology Co., Ltd. (“Guangzhou Youxin”).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30, 2020: Shareholders Shaozhang Lin, Jinhou Sun, Weizhao Feng transferred their combined 100% shares in Guangxi Yousen Network Technology Co., Ltd. (“Guangxi Yousen”) to Guangzhou Youxin.</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 2022: Youxin Technology Ltd (“Youxin Technology” or “Youxin Cayman”) was established as our offshore holding company to facilitate financing and offshore listing.</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10, 2022: Youxin Cloud Ltd. (“Youxin BVI”) was established and is wholly owned by Youxin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17, 2022: Guangzhou Youxin disposed its subsidiary Guangxi Yousen.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13, 2022: Youxin Cloud (HK) Ltd. (“Youxin HK”) was established and is wholly owned by Youxin BVI.</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17, 2023: Hainan Youxin Mutual Enterprise Management Co., Ltd. (“YXHW” or “WFOE”) was established as a wholly foreign-owned enterprise in the PRC and is wholly owned by Youxin HK.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28, 2023: the former shareholders transferred their 100% ownership interest in Guangzhou Youxin to WFOE.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29, 2025: WFOE successfully acquired 51% of the equity interest of Celnet Technology Co., Ltd. (“Celnet”).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holder of Class A Shares of our company is entitled to 1 vote per share, and each holder of Class B Shares of our company is entitled to 20 votes per share. Each Class B Share is convertible into one Class A Share under certain circumstances. Our current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4766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executive office is located at Room 1005, 1006, 1007, No. 122 Huangpu Avenue West, Tianhe District, Guangzhou, Guangdong Province, PRC. The telephone number of our principal executive office is +86 13631357745. Celnet leases three office spaces in Guangzhou, Shanghai and Beijing respectively. Guangzhou office is located at Room D203, No. 32, Shangchong Nanyue, Haizhu District, Guangzhou. The total leased area spans 371.53 square meters. The lease commenced on December 1, 2025, and the expiration date is November 30, 2027. Shanghai office is located at Room 1140, 11F, Tower B, Central Towers, No.567, Lan Gao Road, Putuo District, Shanghai. The lease commenced on May 1, 2025, and the expiration date is April 30, 2026. Beijing office is located at Room 1502, 15F, Building 4, Courtyard 60, Xinhua West Street, Tongzhou District, Beijing. The total leased area spans 48.87 square meters. The lease commenced on August 16, 2024, and the expiration date is August 15, 2026. The property is leased without any pledge/mortgage as of the date of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website at https://www.ir.youxin.cloud/,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 Our registered office in the Cayman Islands is located at Ogier Global (Cayman) Limited, 89 Nexus Way, Camana Bay, Grand Cayman, KY1-9009, Cayman Islands or at such other place in the Cayman Islands as the directors may at any time decide. Our agent for service of process in the United States is Puglisi &amp; Associates, 850 Library Avenue, Suite 204, Newark, Delaware 1971.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various legal and operational risks associated with our substantial operations in China. The PRC government has the right to regulate how a China-based company, like us, conducts its business, accepts foreign investments, or lists on a U.S. stock exchange in accordance with laws and regulations. For example, we face risks associated with regulatory approvals of offshore offerings, anti-monopoly regulatory actions, cybersecurity and data privacy, as well as the lack of inspection from the PCAOB. Such regulations may from time to time have an impact on our business operations. Any regulatory action unfavorable to our operations, once taken by the PRC government, could cause the value of our securities to significantly decline or in extreme cases, become worthless. The operational and legal risks associated with being based in and having operations in China also to the extent applicable apply to operations in Hong Kong and Macau which operate under different sets of laws from those of Mainland China.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ordinary shares involves significant risks. You should carefully consider all of the information in this prospectus and the filings incorporated by reference before making an investment in our Securities. Below please find a summary of the principal risks we face, organized under relevant headings. These risks are discussed more fully in the section titled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ordinary shares may cause the prevailing market price of our shares to decrease.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Shares, whether by us or our shareholders, could cause the price of our Class A Shares to decline.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and do not intend to pay dividends on our Class A Shares. Investors in this offering may never obtain a return on their investment.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Our Operational and Execution Risks</w:t>
      </w:r>
    </w:p>
    <w:p>
      <w:pPr>
        <w:spacing w:after="0" w:line="2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subsidiary Guangzhou Youxin’s PaaS platform to provide customized system development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making it difficult to forecast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computing resources, transmission bandwidth and storage space, which could result in disruptions and the business, results of operations and financial condition could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intend to continue to invest in our business. As a result, we may continue to experience losses in the future.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proprietary information or other intellectual property, our business could be adversely affected.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ordinary shares.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to derive a significant portion of our net revenues and this dependence is likely to continue.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key members of the management team or development and operations personnel and may be unable to attract and retain employees we need to support operations and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Industry Risks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recognize revenue over the term of our customer agreements, downturns or upturns in new business may not be immediately reflected in our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9"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by third parties for intellectual property infringement.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from the evolving regulatory environment and user attitudes toward data privacy and protection. Actual or alleged failure to comply with data privacy and protection laws and regulations could materially and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legal and other proceedings arising out of our operations from time to time and may face significant liabilities as a result.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laws and regulations which exert more oversight and control over offerings that are conducted overseas and/or foreign investment and/or operations in China-based issuers could significantly change our operations, limit or completely hinder our ability to offer or continue to offer securities to investors and cause the value of such securities to significantly decline or be worthless.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joint statement by the SEC and PCAOB, proposed rule changes submitted by Nasdaq, and the HFCA Act all call for additional and more stringent criteria to be applied to emerging market companies upon assessing the qualification of their auditors, especially the non-U.S. auditors who are not inspected by the PCAOB. On April 21, 2020, SEC former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 On August 26, 2022, SEC Chairman Gary Gensler released a statement announcing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 These developments could add uncertainties to our offering.</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and regulations governing our current business operations are sometimes vague and uncertain and any changes in such laws and regulations may impair our ability to operate profitably.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may exert more oversight and control over offerings that are conducted overseas and in foreign investment in China-based issuers, especially those in the technology field. Additional compliance procedures may be required in connection with this offering, which could significantly affect our ability to offer or continue to offer securities to investors and cause the value of our securities to significantly decline or be worthless.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left="328" w:hanging="328"/>
        <w:spacing w:after="0" w:line="258"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CAC has recently increased oversight over data security, particularly for companies seeking to list on a foreign exchange. We believe the impact of the CAC’s increasing oversight on our business is immaterial. However, the implementation and interpretation of the Revised CAC Measures, and the decision as to whether the PRC regulatory authorities may adopt new laws, regulations, rules, or detailed implementation and interpretation in relation, or in addition to the Revised CAC Measures, will be determined on an ad hoc basis depending on the facts and circumstances.</w:t>
      </w:r>
    </w:p>
    <w:p>
      <w:pPr>
        <w:spacing w:after="0" w:line="183"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policy pronouncements by the PRC government regarding business activities of U.S.-listed PRC businesses may negatively impact our Hong Kong subsidiary.</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Guangzhou Youxin operates in Mainland China, its business is subject to the PRC laws and regulations which may change from time to time. Because we have the majority of our operations in China and are subject to evolving PRC laws and regulations in all aspects. Recently, the PRC government has indicated an intent to strengthen regulatory oversight over offerings that are conducted overseas and/or foreign investment in China-based issuers, and initiated a series of regulatory actions and made a number of public statements, some of which are published with little advance notice before they become effective; as a result we may not have the opportunity to address such newly promulgated regulatory requirements in a timely manner. We may be subject to the approval, filing or other requirements of the CSRC or other PRC governmental authorities in connection with this offering under current PRC laws, regulations and rules. The Chinese government may intervene or influence our operations in accordance with laws and regulations if we are in violation of applicable PRC laws and regulations, or may strengthen regulatory oversight over offerings conducted overseas and/or foreign investment in China-based issuers, which could result in a material change in our operations and/or the value of our securities.</w:t>
      </w:r>
    </w:p>
    <w:p>
      <w:pPr>
        <w:spacing w:after="0" w:line="194"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negatively affected by the potential obligations if we fail to comply with social insurance and housing provident fund related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PRC regulation of loans to and direct investment in PRC entities by offshore holding companies and relevant regulations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we rely on funding on dividend payments from WFOE and Guangzhou Youxin, which are subject to restrictions under PRC laws.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cash in the business is in the PRC and Hong Kong or a PRC or Hong Kong entity, the funds may not be available to fund operations or for other use outside of the PRC/Hong Kong.</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adversely affect our business and the value of our securities.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process or enforcing foreign judgments against us, our respective executive officers and directors residing in Mainland China.</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subsidiaries were to lose their favorable tax treatments, we could face higher tax rates than we currently pay for much of our revenues.</w:t>
      </w:r>
    </w:p>
    <w:p>
      <w:pPr>
        <w:spacing w:after="0" w:line="2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8" w:name="page39"/>
    <w:bookmarkEnd w:id="38"/>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the requisite licenses and approvals required under the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deemed a PRC resident enterprise for PRC Enterprise Income Tax (“EIT”) purposes under the EIT Law and be subject to PRC taxation on our global income.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internet industry and related businesses in China are evolving and may involve significant uncertainty.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rely on dividends paid by WFOE for our cash needs, any limitation on the ability of WFOE to pay dividends to us could have a material adverse effect on our ability to conduct our business.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exchange transactions, including dividend payments on our Shares are subject to the PRC laws and regulations in relation to currency conversion.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complete the procedures for some acquisitions of PRC companies by foreign investors under the PRC laws and regulations, we may be unable to pursue growth through acquisitions in China.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Class A Shares to investors and could cause the value of our Class A Shares to significantly decline or become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Operations</w:t>
      </w:r>
    </w:p>
    <w:p>
      <w:pPr>
        <w:spacing w:after="0" w:line="229"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irrevocable voting structure centralizes control in a Trust Committee, which may limit shareholder influence and entrench control, potentially misaligning governance with investor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as a result of becoming a public company, which could negatively impact our net income and liquidity.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disclose information publicly may put us at a disadvantage to competitors that are private companies.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Shares</w:t>
      </w:r>
    </w:p>
    <w:p>
      <w:pPr>
        <w:spacing w:after="0" w:line="22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ordinary shares structure may negatively impact the market price of its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we cannot be certain whether the reduced reporting requirements applicable to emerging growth companies will make our ordinary shares less attractive to investors.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volatile or may decline regardless of our operating performance, and you may not be able to resell your shares at or above the public offering price.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our public offering and may not use them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eligible for future sale may adversely affect the market price of our ordinary shares, as the future sale of a substantial amount of outstanding ordinary shares in the public marketplace could reduce the price of our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liability risks stemming from our foreign status, which could make it more difficult for investors to sue or enforce judgments against our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decline to register transfers of ordinary shares in certain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unable to present proposals before general meetings or extraordinary general meetings not called by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difficulties in protecting your interests under the laws of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facts, forecasts and statistics contained in this prospectus are derived from a third-party report and publicly available official sources and they may not be reliable.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within the corporate governance rules of the NASDAQ and, as a result, qualify for, and intend to rely on, the exemption from the requirement that our corporate governance committee be composed entirely of independent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ordinary shares has the effect of concentrating voting control with certain directors and executive officers, and limiting your ability to influence corporate matters. Such interests may conflict with yours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less than $1.235 billion in revenue as of September 30, 2025.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our ordinary shares in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w:t>
      </w:r>
    </w:p>
    <w:p>
      <w:pPr>
        <w:spacing w:after="0" w:line="27" w:lineRule="exact"/>
        <w:rPr>
          <w:sz w:val="20"/>
          <w:szCs w:val="20"/>
          <w:color w:val="auto"/>
        </w:rPr>
      </w:pPr>
    </w:p>
    <w:p>
      <w:pPr>
        <w:jc w:val="both"/>
        <w:ind w:firstLine="8"/>
        <w:spacing w:after="0" w:line="253" w:lineRule="auto"/>
        <w:tabs>
          <w:tab w:leader="none" w:pos="3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for complying with new or revised accounting standards.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both foreign private issuers and emerging growth companies are exempt from certain of the more extensive SEC executive compensation disclosure rules (see “</w:t>
      </w:r>
      <w:r>
        <w:rPr>
          <w:rFonts w:ascii="Times New Roman" w:cs="Times New Roman" w:eastAsia="Times New Roman" w:hAnsi="Times New Roman"/>
          <w:sz w:val="18"/>
          <w:szCs w:val="18"/>
          <w:i w:val="1"/>
          <w:iCs w:val="1"/>
          <w:color w:val="auto"/>
        </w:rPr>
        <w:t>Implications of Being a Foreign Private Issuer</w:t>
      </w:r>
      <w:r>
        <w:rPr>
          <w:rFonts w:ascii="Times New Roman" w:cs="Times New Roman" w:eastAsia="Times New Roman" w:hAnsi="Times New Roman"/>
          <w:sz w:val="18"/>
          <w:szCs w:val="18"/>
          <w:color w:val="auto"/>
        </w:rPr>
        <w:t>” below). Therefore, even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consummation of this offering, we will report under the Securities Exchange Act of 1934, as amended (the “Exchange Act”), as a non-U.S. company with “foreign private issuer” status. Even after we no longer qualify as an emerging growth company, so long as we qualify as a foreign private issuer under the Exchange Act, we are exempt from certain provisions of the Exchange Act and the rules thereunder that are applicable to U.S. domestic public companies, including:</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U.S. domestic public companies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regulate the solicitation of proxies, consents, or authorizations in respect of any securities registered under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require insiders to file public reports of their share ownership and trading activities and that impose liability on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file with the SEC, within four months after the end of each fiscal year (or such other reports required by the SEC), an annual report on Form 20-F containing financial statements audited by an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Voting Trustee are made by the Trustee at the direction of the Voting Trust’s Trust Committee (the “Trust Committee”). Jinhou Sun was appointed chairman (the “Chairman”) of the Trust Committee by the Beneficiaries and Principals. The Chairman has the exclusive right to appoint the other members of the Committee and remove any members so appointed. The Voting Trust owns a controlling interest in our company and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controlled by this shareholder, may rely upon exemptions from several of Nasdaq’s corporate governance requirements, including requirements that:</w:t>
      </w:r>
    </w:p>
    <w:p>
      <w:pPr>
        <w:spacing w:after="0" w:line="19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consists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long as our officers and directors, either individually or in the aggregate, own at least 50% of the voting power of our company, we are a “controlled company” as defined under Nasdaq Marketplace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Conventions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 “we,” “us,” “our company,” “Company,” “our” and “Youxin” refer to:</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Youxin Technology Ltd, a Cayman Islands company, which is the holding company issuing securities hereby;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Youxin Cloud (BVI) Ltd, wholly owned by Youxin;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Youxin Cloud (HK) Limited (“Youxin HK”), wholly owned by Youxin BVI;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Hainan Youxin Mutual Enterprise Management Co., Ltd. (“YXHW” or “WFOE”), a wholly foreign-owned entity formed by Youxin HK under the laws of the People’s Republic of China;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Youxin Technology Co., Ltd. (“Guangzhou Youxin”), a wholly owned subsidiary formed by YXHW under the laws of the People’s Republic of China.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conversions of certain RMB amounts into U.S. dollar amounts at a specified exchange rate solely for the convenience of the reader. The exchange rates in effect as of September 30, 2023, 2024 and 2025 were $7.30, $7.02 and $7.12, respectively. We use period-end exchange rates for assets and liabilities and average exchange rates for revenue and expenses. Capital accounts are converted at their historical exchange rates when capital transactions occurred. Any discrepancies in any table between the amounts identified as total amounts and the sum of the amounts listed therein are due to rounding.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sake of clarity, this prospectus follows the English naming convention of first name followed by last name, regardless of whether an individual’s name is Chinese or English. For example, the name of the Chief Executive Officer will be presented as “Shaozhang Lin,” even though, in Chinese, Mr. Lin’s name is presented as “Lin Shaozhang.”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the industry and market data used in this prospectus supplement, the accompanying prospectus, any free writing prospectus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prospectus other than to the extent specifically cited in this prospectus. We have sought to provide current information in this prospectus and believe that the statistics provided in this prospectus remain up-to-date and reliable, and these materials are not incorporated in this prospectus other than to the extent specifically cited in this prospectus.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assumes the underwriter does not exercise its over-allotment option in full.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Cash to and from the Subsidiaries</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To transfer cash from Youxin HK to the WFOE, Youxin HK can increase the WFOE’s registered capital, which requires reporting to the local governmental authorities, or through a shareholder loan, which requires registration with the PRC State Administration of Foreign Exchange or its local bureau.</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conduct all of our business through Guangzhou Youxin, but we may conduct business in Mainland China through the WFOE in the future. Although we do not currently intend to pay dividends, we may rely on the dividends received from the WFOE to pay dividends to our shareholders in the future.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each of their registered capitals. These reserve funds cannot be distributed as cash dividends. If our PRC subsidiaries incur debt on its own or enter into certain agreements in the future, the instruments governing the debt or such other agreements may restrict our ability to pay dividends or make other distributions to 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of RMB into foreign currencies and the remittance of currencies out of the PRC are subject to PRC laws and regulations. We may experience difficulties in completing the administrative procedures necessary to obtain and remit foreign currency for the payment of dividends from our profits, if any. If we or our subsidiaries are unable to receive all of the revenues from our operations, we may be unable to pay dividends on our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dividends, if any, on our Class A Shares will be paid in U.S. dollars. If we are considered a PRC tax resident enterprise for tax purposes, any dividends we pay to our overseas shareholders may be regarded as China-sourced income and as a result may be subject to PRC withholding tax at a rate of up to 10.0%.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entity. However, the 5% withholding tax rate does not automatically apply and certain requirements must be satisfied, including, without limitation, that (a) the Hong Kong entity must be the beneficial owner of the relevant dividends; and (b) the Hong Kong entity must directly hold no less than 25% share ownership in the PRC entity during the 12 consecutive months preceding its receipt of the dividends. In current practice, a Hong Kong entity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dividends to be paid by our PRC subsidiary to its immediate holding company, Youxin HK. As of the date of this prospectus, the WFOE currently does not have any plan to declare and pay dividends to Youxin HK and we have not applied for the tax resident certificate from the relevant Hong Kong tax authority. Youxin HK intends to apply for the tax resident certificate when the WFOE plans to declare and pay dividends to Youxin HK. When the WFOE plans to declare and pay dividends to Youxin HK and when we intend to apply for the tax resident certificate from the relevant Hong Kong tax authority, we plan to inform the investors through SEC filings, such as a current report on Form 6-K, prior to such actions. See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Doing Business in China – We are a holding company, and we rely on funding on dividend payments from WFOE and Guangzhou Youxin, which are subject to restrictions under PRC 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expect to pay any cash dividends in the foreseeable future as it intends to use the earnings for research and development, to develop new products and to expand its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Before you decide to purchase our ordinary shares, you should understand the high degree of risk involved. You should carefully consider the following risks and other information in this prospectus, including our consolidated financial statements and related notes. Our results of operations, financial condition, business and prospects could also be harmed by risks and uncertainties that are not presently known to us or that we currently believe are not material. If any of the following risks actually occur, our business, financial condition and operating results could be adversely affected. As a result, the trading price of our ordinary shares could decline, perhaps significantly, and you could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ordinary shares may cause the prevailing market price of our shares to decrease.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and sale of additional Class A Shares or securities convertible into or exercisable for Class A Shares could reduce the prevailing market price for our Class A Shares as well as make future sales of equity securities by us less attractive or not feasible. The sale of Class A Shares issued upon the exercise of our outstanding options could further dilute the holdings of our then existing shareholders.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Shares has been, and may continue to be, highly volatile, and such volatility could cause the market price of our Class A Shares to decrease and could cause you to lose some or all of your investment in our Class A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market in general and the market prices of the Class A Shares on Nasdaq, in particular, are or will be subject to fluctuation, and changes in these prices may be unrelated to our operating performance. During the six-month period prior to the date of this prospectus, the market price of our Class A Shares has fluctuated significantly, and the price of our Class A Shares continues to fluctuate. We anticipate that the market prices of our shares will continue to be subject to wide fluctuations. The market price of our shares is, and will be, subject to a number of factors, including:</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may materially and adversely affect the market price of our shares and result in substantial losses by our 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Shares, whether by us or our shareholders, could cause the price of our Class A Shares to decline.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existing shareholders sell, or indicate an intent to sell, substantial amounts of our Class A Shares in the public market, the trading price of our could decline significantly. Similarly, the perception in the public market that our shareholders might sell our Class A Shares could also depress the market price of our shares. A decline in the price of our Class A Shares might impede our ability to raise capital through the issuance of additional Class A Shares or other securities. In addition, the issuance and sale by us of additional Class A Shares, or securities convertible into or exercisable for our Class A Shares, or the perception that we will issue such securities, could reduce the trading price for our Class A Shares as well as make future sales of equity securities by us less attractive or not feasible. The sale of Class A Shares issued upon the conversion of any debt securities or the exercise of our outstanding warrants could further dilute the holdings of our then existing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and do not intend to pay dividends on our Class A Shares. Investors in this offering may never obtain a return on their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dividends on our ordinary since inception, and do not intend to pay any dividends on our Class A Shares in the foreseeable future. We intend to reinvest earnings, if any, in the development and expansion of our business. Accordingly, you will need to rely on sales of your Class A Shares after price appreciation, which may never occur, in order to realize a return on your investment.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satisfy all applicable continued listing requirements of the Nasdaq Capital Market, our Class A Shares may be delisted from Nasdaq, which could have an adverse impact on the liquidity and market price of our Class A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Shares are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our Class A Shares is delisted from Nasdaq and is not eligible for quotation or listing on another market or exchange, it could become more difficult to sell, or obtain accurate price quotations for, our Class A Shares, and there would likely also be a reduction in our coverage by securities analysts and the news media, which could cause the price of our Class A Shares to decline further. Also, it may be difficult for us to raise additional capital if we are not listed on a major exchange.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meet the listing requirements of Nasdaq, our Class A Shares will be delisted.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2025, we received two deficiency letters from the Nasdaq notifying the Company (i) that the Company did not meet the minimum bid price requirement set forth in Nasdaq Listing Rule 5550(a)(2) and (ii) that the Company was not in compliance with Nasdaq Listing Rule 5550(b)(2).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Staff subsequently determined that as of September 19, 2025, the Company’s securities had a closing bid price of $0.10 or less for ten consecutive trading days. Accordingly, the Company is subject to the provisions contemplated under Listing Rule 5810(c)(3)(A)(iii). As a result, the Company received a delisting notice from The Nasdaq Capital Market. On September 29, 2025, the Company appealed the Staff’s determination to a Hearings Panel. As previously noted, the filing of the appeal stays the delisting, and the Company’s shares continue to trade on Nasdaq. On October 2, 2025, the Company received a letter from Nasdaq stating that, based on evidence that stockholders’ equity increased to more than $2.5 million, Staff determined that the Company is in compliance with Nasdaq Listing Rule 5550(b) and the deficiency pursuant to Nasdaq listing Rule 5550(b)(2) is closed.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 2025, we disclosed receipt of a notice of delisting from the Nasdaq, as a result of its Class A Shares having a closing price of less than $0.10 per share for ten consecutive trading days and failing to satisfied the minimum bid price requirement set forth in Nasdaq Listing Rule 5550(a)(2). The Company appealed this determination on September 29, 2025. On October 17, 2025, the Company received a letter from Nasdaq stating that the Company has regained compliance with the minimum bid price requirement in Listing Rule 5550(a)(2) and that the delisting hearing is therefore mooted. The Company’s securities will continue to be listed and trade on The Nasdaq Stock Market.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achieve and maintain compliance with such listing standards or other Nasdaq listing requirements in the future, our Class A Shares could be delisted from Nasdaq. A delisting of our Class A Shares and our inability to list on another national securities market could negatively impact us by: (i) reducing the liquidity and market price of our Class A Shares; (ii) reducing the number of investors willing to hold or acquire our Class A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Operational and Execution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we intend to continue to invest in our business. As a result, we may continue to experience losses in the future.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net losses of approximately $9.65 million, $1.28 million and $2.34 million during the years ended September 30, 2025, 2024 and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invest heavily in our product development and operations, to focus on our SaaS platform to increase our user base to support future growth, and to meet our expanded reporting and compliance obligations as a public company. We may not generate sufficient revenue to offset such costs to achieve or sustain profitability in the future.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current cash, operational cash flow, and the amount available from issuances of Class A Shares from our initial public offering will be sufficient to fund our working capital requirements beyond the next 12 months. This belief assumes, among other things, that we will be able to raise additional equity financing, will continue to be successful in implementing our business strategy and that there will be no material adverse developments in the business, liquidity or capital requirements. If one or more of these factors do not occur as expected, it could have a material adverse impact on our activities, including (i) reduction or delay of our business activities, (ii) forced sales of material assets, (iii) defaults on our obligations, or (iv) insolvency. Our planned investments may not result in increased revenue or growth of our business. We cannot assure you that we will be able to generate revenue sufficient to offset our expected cost increases and planned investments in our business and platform. As a result, we may incur significant losses for the foreseeable future, and may not be able to achieve and/or sustain profitability. If we fail to achieve and sustain profitability, then we may not be able to achieve our business plan, fund our business or continue as a going concern. The financial statements included in this report do not contain any adjustments which might be necessary if we were unable to continue as a going concern.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subsidiary Guangzhou Youxin’s PaaS platform to provide customized system development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revenue from customized system development services through Guangzhou Youxin’s PaaS platform. As such, any significant interruptions to the PaaS platform by hacking, cyberattack or due to telecommunication failures, power shortages, natural disasters or other events which may cause disruptions in our daily operations, may reduce the attractiveness of our services, and result in a potential loss of our clients and their participation and consequently, our business and results of operations could be adversely affected. In addition, any measures to avoid information and technological system failures may not be effective or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making it difficult to forecast our future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commenced operations in 2018. Due to the limited operating history, our ability to accurately predict future operating results is limited and subject to a number of uncertainties, including our capacity to plan for future growth. Our past revenue growth is not necessarily indicative of our future performance.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in future periods, our revenue growth could slow down or our revenue could decline for a number of reasons, including slowing demand for our products,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the business could suffer.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insufficient computing resources, transmission bandwidth and storage space, which could result in disruptions and the business, results of operations and financial condition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telecommunications network providers for access to data centers to house our servers and other computing resources. There can be no assurance that we are adequately prepared for unexpected increases in bandwidth and data center demands by our clients and their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adequate transmission bandwidth at fair market prices, if at all. This risk is heightened where market power is concentrated with one or a few major networks. We also may be unable to move quickly enough to improve the capacity to reflect growing traffic or security demands. Failure to put in place the capacity could result in a reduction in, or disruption of, service to our customers and ultimately a loss of those customers. Such a failure could result in our inability to acquire new customers when demanding capacity that is not available on our platform.</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third-party data center hosting facilities, cloud computing platform providers or third-party service partners, or the underlying infrastructure of the internet are breached, and unauthorized access is obtained to a client’s data, our data or our IT systems, or authorized access is blocked or disabled, our services may be perceived as not being secure, clients may refrain from or stop using the services, and we may incur significant reputational harm, legal exposure and liabilities, or a negative financial impact.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services involve the storage and transmission of our clients’ and their customers’ proprietary and other sensitive data, including financial information and other personal information. While we have security measures in place to protect our clients’ and their customers’ data, our services and underlying infrastructure may in the future be materially breached or compromised as a result of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fraudulently convince our employees, partners or clients to disclose sensitive information such as usernames, passwords or other information to gain access to our clients’ data or IT systems, or our data or our IT systems;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individuals or groups of hackers and sophisticated organizations, such as state-sponsored organizations or nation-states, to launch coordinated attacks, including ransomware and distributed denial-of-service attacks;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abuse our marketing, advertising or social platforms to impersonate persons or organizations and disseminate information that is false or misleading;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our internally built infrastructure on which many of our services operate, or on third-party cloud-computing platform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resulting from enhancements and updates to our existing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new technologies and infrastructures, including those from acquired companies;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or vulnerabilities in, the many different underlying networks and services that power the internet our products depend on, most of which are not under our control or the control of our vendors, partners or clients;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contractor errors or intentional acts that compromise our security systems.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changes in our work environment as a result of the COVID-19 pandemic could adversely affect our security measures, as well as our ability to address and respond to incidents quickly. 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the clients’ and their customers’ proprietary and other sensitive data, we can provide no assurances that such measures will provide absolute security or that a material breach will not occur. For example, our ability to alleviate these risks may be impacted by the following:</w:t>
      </w:r>
    </w:p>
    <w:p>
      <w:pPr>
        <w:spacing w:after="0" w:line="187"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 changes to and growth in complexity of the techniques that is used to breach, obtain unauthorized access to, or sabotage to our IT systems and infrastructure, which are generally not recognized until it is launched against a target, and could result in our being unable to anticipate or implement adequate measures to prevent such techniques;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evolution of our internal IT system while sharing data and communicating internally and with our partners and clients, which increases the complexity of the IT systems;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by our clients to third-party technology providers to access client’s customer data, which may lead to the clients’ inability to protect their data that is stored on our servers;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the clients or third-party technology providers, or the processing of data by third-party technology providers, which may not allow us to maintain the integrity or security of such transmissions or processing.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such identified security alerts have not been material or significant to us, including to our reputation or business operations. There can be no assurance that future cyberattacks will not be material or significant. Additionally, as our market presence grows, we may face increased risks of cyberattack attempts or security threats.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security breach or incident could result in unauthorized parties obtaining access to, or the denial of authorized access to our IT systems or data, or our clients’ systems or data, including intellectual property and sensitive or other confidential information. A security breach could also result in a loss of confidence in the security of our services, damage our reputation, negatively impact our future sales, disrupt our business and lead to increases in insurance premiums and legal, regulatory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 and the reallocation of resources from development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prevent security breaches, improper access to or disclosure of our data or user data, or if it experiences other hacking and attacks, we may lose our users and the business; our reputation, financial condition and results of operations may be materially and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employed significant resources to develop our security measures against breaches. Although we have not experienced any material disruptions, outages, cyberattacks, attempts to breach our systems, or other similar incidents and do not expect the occurrence of such incidents in the future, our cybersecurity measures may not detect, prevent or control all attempts to compromise the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it otherwise maintains. Breaches of our cybersecurity measures could result in unauthorized access to our systems, misappropriation of information or data, deletion or modification of client information, or a denial-of-service or other interruption to our business operations. As techniques used to obtain unauthorized access to or sabotage systems change frequently and may not be known until launched against us or our supporting service providers, we may not be able to anticipate, or implement adequate measures to protect against these attacks.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likely in the future to be subject to these types of attacks. If we are unable to avert these attacks and security breaches, we could be subject to significant legal and financial liabilities, our reputation would be harmed and we could suffer substantial revenue loss from lost sales and client dissatisfaction. We may not have the resources or technical sophistication to anticipate or prevent rapidly evolving types of cyber-attacks. Cyber-attacks may target us, our suppliers, clients or other participants, or the internet infrastructure on which the business depends. Actual or anticipated attacks and risks may cause us to incur significantly higher costs, including costs to deploy additional personnel and network protection technologies, train employees, and engage third-party experts and consultants. Cybersecurity breaches would not only harm our reputation and business, but also could materially decrease our revenue and net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disruptions in our services could reduce demand for our services and subject it to substantial liability.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services are complex and they incorporate a variety of hardware, proprietary software and third-party software, these services may have errors or defects that could result in unanticipated downtime for the clients and causes damage to our reputation and the business. Cloud services frequently contain undetected errors when first introduced or when new versions or enhancements are released. We have from time to time found defects in and experienced disruptions to our services, and new defects or disruptions may occur in the future. Such defects could be the result of any employee, contractor or other third-party acts or inaction, and it could negatively affect our brand and reputation. Additionally, such defects could create vulnerabilities that could inadvertently permit access to our protected clients’ data.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clients may use the services in unanticipated ways that may cause a disruption in the services for other clients attempting to access their data. If we acquire any companies, we may encounter difficulty in integrating the acquired technologies into our own services and in augmenting the technologies to meet the quality standards that are consistent with our brand and reputation. As a result, our services may have errors or defects resulting from the complexities of integrating acquisitions.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clients use our services for important aspects of their business, any errors, defects and disruptions in service, update of our services or other performance problems could hurt our reputation and may damage our clients’ businesses. As a result, clients could assert claims against us, elect to not renew our services or delay or withhold payment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information or other intellectual property, our business could be adversely affected.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copyright, trademark and trade secret laws and contractual restrictions through confidentiality, non-disclosure and invention assignment agreements with the key employees and third parties with whom we do business to establish, maintain and protect proprietary information and other intellectual property. These agreements may not effectively prevent disclosure of our confidential information, and it may be possible for unauthorized parties to copy the software or other proprietary technology or information, or to develop similar software independently with us lacking an adequate remedy for unauthorized use or disclosure of the confidential information. We may not be able to efficiently detect and prevent all misappropriation, unauthorized use or reverse engineering of the proprietary information and other intellectual property. For example, contractual restrictions may be breached, and we may not succeed in enforcing our rights or have adequate remedies for any breach of laws or contractual restrictions.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trade secrets may be disclosed to or otherwise become known or be independently developed by competitors, and in these situations we may have no or limited right to stop others’ use of our information. Furthermore, to the extent that the employees or other third parties with whom we do business use intellectual property owned by others in their work,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interruptions or delays in services from third parties, including data center hosting facilities, cloud computing platform providers and other hardware and software vendors, or from our inability to adequately plan for and manage service interruptions or infrastructure capacity requirements, could impair the delivery of our services and harm the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serve our clients from third-party data center hosting facilities and cloud computing platform providers located in China. We also rely on computer hardware purchased or leased from, software licensed from, and cloud computing platforms provided by third parties in order to offer our services including database software, hardware and data from a variety of vendors. Any disruption or damage to, or failure of our systems generally, including the systems of the third-party platform providers, could result in interruptions in our services. We have from time-to-time experienced interruptions in our platform and such interruptions may occur in the future. As our reliance on these third-party systems increases, particularly with respect to third-party cloud computing platforms, our exposure to damage from service interruptions may increase. Interruptions in our services may result in penalties, may cause the clients to make warranty or other claims against us or to terminate their service agreement with us, and adversely affect our attrition rates and our ability to attract new clients, all of which would reduce our revenue. Our business and reputation would also be harmed if our clients and potential clients believe the services are unreliable.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production environment and clients’ data are replicated in near real time in facilities located on the third-party cloud storage facilities located mainly in Eastern China. We do not control the operation of any of these facilities and they may be vulnerable to damage or interruption from earthquakes, floods, fires, power loss, telecommunications failures and similar events. These facilities may also be subject to break-ins, sabotage, intentional acts of vandalism and similar misconduct, as well as local administrative actions (including shelter-in-place or similar orders), and changes to legal or permitting requirements and litigation to stop, limit or delay operation. Despite precautions taken at these facilities, such as disaster recovery and business continuity arrangements, the occurrence of a natural disaster or pandemic (including the COVID-19 pandemic), an act of terrorism, a decision to close the facilities without adequate notice or other unanticipated problems at these facilities could result in lengthy interruptions in our services.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hardware, software, data and cloud computing platforms may not continue to be available at reasonable prices, on commercially reasonable terms or at all. Any loss of the right to use any of these hardware, software or cloud computing platforms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do not accurately plan for the infrastructure capacity requirements and if we experience significant strains on our data center capacity, our clients could experience performance degradation or service outages that may subject them to financial liabilities and result in client losses and harm to our reputation and business. We only export client data and provide it to the client via a manual process by the database administrator if the client requests it in a form of log flow while the client will not have direct export or download access. As of the date of this prospectus, there are not any instances in which we have provided, transferred, or disclosed data information without a client request. Despite precautions taken during this process, any unsuccessful data transfers may impair the delivery of our services, which may affect the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Supporting our existing and growing client base could strain our personnel resources and infrastructure, and if we are unable to scale up our operations and increase productivity, we may not be able to successfully implement our business plan.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experience significant growth in our client base and personnel, which has placed a strain on and in the future may stress the capabilities of our management, administrative, operational and financial infrastructure. We anticipate that significant additional investments will be required to scale up our operations and increase productivity, to address the needs of our clients, to further develop and enhance our services, and to expand into new geographic areas for an overall growth. The additional investments will increase our cost base, which will make it more difficult for us to offset any future revenue shortfalls by reducing expenses in the short term. We may not be able to make these investments as quickly or effectively as necessary to successfully scale up our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upgrade or replace our various software systems and processes. If the implementations of these new applications are delayed, or if we encounter unforeseen problems with our new systems and processes while migrating away from the existing systems and processes, our operations and our ability to manage the business could be negatively impacted. For example, our efforts to further automate our processes for client contracts may be complicated by unanticipated operating difficulties.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will depend in part upon the ability of our senior management to manage our projected growth effectively. To do so, we must continue to increase the productivity of our existing employees and to hire, train and manage new employees as needed. We have offered a mixture of work-from-home and onsite working model to all employees. Our new office model and any adjustments made to our current and future office environment or work-from-home policies may not meet the needs and expectations of our workforce, which could negatively impact our ability to attract and retain employees.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up our operations and increase productivity, we may be unable to execute our business plan.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clients do not renew professional services or if they reduce the frequency of the subscription at the time of renewal, our revenue and current remaining performance obligation could decline and the business may suffer. If we cannot accurately predict renewals or upgrade rates, we may not meet the revenue targets, which may adversely affect the market price of our Class A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for our services after the expiration of their contractual professional service period, which is typically 12 months. In general, we will give clients 2 to 3 months’ notice before contract expiration to make a decision on renewal. If the clients choose not to renew, we will discontinue the service when the service term expires. In the normal course of business, some clients have elected not to renew or upgrade. In addition, our clients may renew for fewer subscriptions, renew for shorter contract lengths. It is difficult to predict attrition rates given our varied client base and the number of periodic professional service contracts. Our attrition rates may increase or fluctuate as a result of a number of factors, including client dissatisfaction with our services, clients’ spending levels, mix of client base, decreases in the number of users with our clients, competition, pricing increases or changes and deteriorating general economic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also depends in part on our ability to sell additional features and support services, renewal subscription or enhanced editions of our services to the current clients. Similarly, the rate at which our clients purchase new or enhanced services depends on a number of factors, including general economic conditions and that the clients do not react negatively to any price changes related to these additional features and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clients do not renew their services, do not purchase additional features, support services or renewal subscriptions or if attrition rates increase, our business could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to derive a significant portion of our net revenues and this dependence is likely to continue.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a significant portion of our net revenues from a limited number of major clients. For fiscal years ended September 30, 2025, 2024, and 2023, three, three and four of our customers each accounted for 10% or more of our total net revenue and collectively accounted for approximately 84%, 77% and 76% of our total net revenues, respectively. Our ability to maintain close relationships with these major clients is essential to the success of our business. However, the purchase orders placed by specific clients may vary from period to period, and we typically do not have long-term purchase commitments from our clients. As a result, most of the clients could reduce or cease their use of our products and services at any time without any penalty or termination charges. A major client in one year may not provide the same level of revenues for it in any subsequent year. In addition, reliance on any individual client for a significant portion of our revenues may give that client a degree of pricing leverage when negotiating contracts and terms of service with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enter into service agreements with our major clients relative to the technological services we provide, which generally outline the specific services we would provide, the service fees and the terms of service. Any data collected by the clients belong to such clients and they shall implement such rules and policies in relation to the data protection as required by applicable PRC laws and regulations. In addition, if we are in material default as specified under the agreement, we may be subject to payment of liquidated damages and return of any service fees we have received and the client will have the right to terminate the agreement. However, if the client terminates the agreement without any cause, the client shall make full payment of the service fees to 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our sales process, the larger clients may demand more configuration, integration services and features. Because of these factors, these sales opportunities may require us to provide more sales support and professional service resources to each client. This could increase the costs and time needed to close sales and shift our own sales and professional service resources to a smaller number of larger transactions. It could also require us to delay revenue recognition on some of these transactions until the technical or implementation requirements have been met. But if our capability to provide standard SaaS products improves in the future, we may gradually rely less on large clients.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large clients, professional services may also be performed by us, a third party, or a combination of our own staff and a third party. Our strategy is to work with those third parties to increase the breadth of capability and depth of capacity for delivery of these services to our clients. If a client is not satisfied with the quality of work performed by us or a third party or with the type of services or solutions delivered, it could incur additional costs to address the situation which could impair the profitability of a project while the client’s dissatisfaction with our services could damage our ability to obtain additional work from that client. In addition, negative publicity related to our client relationships, regardless of our accuracy, may further damage the business by affecting our ability to compete for new business with current or prospective clients.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key members of the management team or development and operations personnel and may be unable to attract and retain employees we need to support operations and growth.</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substantially upon the continued services of our executive officers and other key members of management. From time to time, there may be changes in the executive management team resulting from the hiring or departure of executives. We are also substantially dependent on the continued service of the existing development and operations personnel because of the complexity of our services and technologies. Our executive officers, key management, development or operations personnel could terminate their employment with us at any time. The loss of one or more of these key employees or groups of employees could seriously harm the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technology industry is subject to substantial and continuous competition for engineers with high levels of experience in designing, developing and managing software and internet-related services, as well as competition for sales executives, data scientists and operations personnel. We are committed to building a diverse workforce. We have experienced, and continue to experience, significant competition in talent recruitment and retention, and may not in the future be successful in our talent recruitment and retention or achieving the diversity goals we have set. We have from time to time experienced, and we expect to continue to experience, difficulty in hiring, developing, integrating and retaining highly skilled employees with appropriate qualifications. If we fail to attract new personnel or fail to retain and motivate the current personnel, the business and future growth prospects could be severely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in our delivery of high-quality professional and technical support services may adversely affect our relationships with our clients and our financial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clients depend on our support establishment to resolve technical issues relating to the platform. We may be unable to respond quickly enough to accommodate short-term increases in client demand for support services across our varying and diverse products. Outsourced technical support may be suddenly and adversely impacted by unforeseen events, for example, as it occurred when certain business process outsourced were delayed due to conditions related to the COVID-19 pandemic. In addition, our sales process is highly dependent on our applications and business reputation and on positive recommendations from the existing clients. Any failure to maintain high-quality technical support, or a market perception that we do not maintain high-quality support, could adversely affect our reputation, our ability to sell our service to existing and prospective clients, and our business, operating results and financial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Strategic and Industry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an emerging and evolving market. If our market does not grow, or if it cannot expand our products and services to meet the demands of this market, and if we do not compete effectively, our operating results could be harmed, our revenue may decline, or fail to grow, and may continue to incur operating losses.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PaaS cloud service market is at an early stage of development in China. There are uncertainties over the size and rate at which this market will grow, as well as whether our solutions and products will be widely adopted. Moreover, the cloud industry is subject to rapid technological change, evolving industry standards, regulations, as well as changing client needs, requirements and preferences. The success of our business will depend, in part, on our ability to adapt and respond effectively to these changes on a timely basis. If it is unable to develop new solutions and products that satisfy our clients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 Our current competitors include:</w:t>
      </w:r>
    </w:p>
    <w:p>
      <w:pPr>
        <w:spacing w:after="0" w:line="19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internally developed applications (by our current and potential clients’ IT departments);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of packaged business software, as well as companies offering enterprise applications delivered through on-premises infrastructure, enterprise software application vendors and cloud computing application service providers, either individually or with others;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companies that provide their product or service free of charge as a single product or when bundled with other offerings, or only charge a premium for advanced features and functionality;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who offer software tailored to specific services that are more directed toward those specific services than our full suite of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of traditional business intelligence and data preparation products, as well as business analytics software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vendors, which may specialize in advertising, targeting, messaging, or campaign automation;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and emerging cloud-only vendors and established on-premises vendors with e-commerce solutions productivity tool and email providers, unified communications providers and consumer application companies that have entered the business software market;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platform development environment companies and cloud computing development platform companies who may develop toolsets and products that allow clients to build new applications and run on the clients’ current infrastructure or as hosted services.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face more competition as we expand product sale and marketing. Some of our current and potential competitors may have competitive advantages, such as greater name recognition, longer operating histories, more significant installed bases, broader geographic scope, broader suites of service and larger marketing budgets, as well as substantially greater financial, technical, personnel and other resources. In addition, many of our current and potential competitors have established marketing relationships and access to larger customer bases, and have major distribution agreements with consultants, system integrators and resellers. We also experience competition from smaller, younger competitors that may be more agile in responding to customers’ demands. These competitors may be able to respond more quickly and effectively than we can to new or changing opportunities, technologies, standards or customer requirements or provide more competitive pricing. As a result, even if our services are more effective than the products and services that our competitors offer, potential customers might select competitive products and services in lieu of purchasing our services. For all of these reasons, we may not be able to compete successfully against our current and future competitors, which could negatively impact our future sales and harm the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products and services.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spent more effort in research and technology to improve our services to attract clients and satisfy their customized needs. Our ability to further increase our customer base and achieve broader market acceptance of our platform will significantly depend on our ability to expand our marketing and sales operations. We also plan to dedicate significant resources to sales and marketing programs. All of these efforts will require us to invest significant financial and other resources and if that fails to attract additional customers and end users our business will be harmed.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Continuing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expand the sale and marketing and to develop and integrate the existing services in order to keep pace with technological developments may not succeed and may reduce our revenue growth rate and harm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obtain a significant portion of our revenue from our PaaS cloud services and we expect this will continue for the foreseeable future. Our efforts to expand our current service may not succeed and may reduce our revenue growth rate. To attract new clients and end users and keep our existing ones engaged, we must introduce new products and services and upgrade our existing offerings to meet their evolving preferences. We have launched our new SaaS standard product called Yunzhuidan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will optimize the product functions based on its operation. It is uncertain whether our efforts and related investments will ever result in significant revenue. It is difficult to predict the preferences of a particular client or a specific group of customers. Changes and upgrades to our existing products may not be well received by our clients and end users, and newly introduced products or services may not achieve success as expected. For example, we may try to introduce more SaaS products for new industry verticals, with which we have little or no prior experience. Such efforts may require us to contribute a substantial amount of additional manpower and financial resources. We cannot ensure that any of such new products will achieve market acceptance or generate sufficient revenues to adequately compensate for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the existing products and introduce new ones in a timely or cost-effective manner, our ability to attract and retain clients and end users may be impaired, and our financial performance and prospects may be adversely affected. In addition, we may be required to continuously enhance our artificial intelligence so that quality undertaking can be provided to our clients. Further, the introduction of significant platform changes and upgrades may not succeed, and early-stage interest and adoption of such new services may not result in long term success or significant revenue for it.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develop enhancements to, and new features for, our existing or new services that keep pace with rapid technological developments, our business could be harmed. The success of enhancements, new features and services depends on several factors, including the timely completion, introduction and market acceptance of the feature, service or enhancement by clients, administrators and developers, as well as our ability to seamlessly integrate all of our product and service and develop adequate selling capabilities in new markets. Failure in this regard may significantly impair our revenue growth as well as negatively impact our operating results if the additional costs are not offset by additional revenues. In addition, because our services are designed to operate over various network technologies and on a variety of mobile devices, and our operating systems and computer hardware and software platforms use a standard browser, we will need to continuously modify and enhance our services to keep pace with changes in internet-related hardware, software, communication, browser, application development platform, WeChat Mini program platform and database technologies, as well as continue to maintain and support our services on legacy systems. We may not be successful in either developing these modifications and enhancements or in bringing them to market timely.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we fail to anticipate or identify significant internet-related and other technology trends and developments early enough, or if we do not devote appropriate resources to adapting to such trends and developments, our business could be harmed. Uncertainties about the timing and nature of new network platforms or technologies, or modifications to existing platforms or technologies, including text messaging capabilities, or changes in client usage patterns thereof, could increase our research and development effort or service delivery expenses or lead to our increased reliance on certain vendors. Any failure of our services to operate effectively with future network platforms and technologies could reduce the demand for our services, result in client dissatisfaction and harm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on our ability to maintain and enhance our brands.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brand identities that we have developed, including associations with trust, client priority and innovation, have significantly contributed to the success of our business. Maintaining and enhancing our brands are critical to expanding our base of clients, partners and employees. Our brands’ strength, particularly for our core services, will depend largely on our ability to remain a technology advantage and continue to provide high-quality innovative products, services and features securely reliably and in a manner that enhances our clients’ success even as we scale up and expand our services. In order to maintain and enhance the strength of our brands, we may make substantial investments to expand or improve our product and services or enter new markets that may be accompanied by initial complications or ultimately prove to be unsuccessful.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maintain, enhance or protect our brands, or if we incur excessive expenses in our efforts to do so, our business, operating results and financial condition may be materially and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developers and providers do not continue to embrace our technology delivery model and enterprise cloud computing services, or if our clients seek warranties from us for third-party applications, integrations, data and content, our business could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on the willingness of a growing community of third-party developers and implementation engineers to build applications and provide integrations, data and content that are complementary to our services. Without the continued development of these applications and provision of such integrations, data and content, both current and potential clients may not find our services sufficiently attractive, which could impact future sales. In addition, for those clients who authorize a third-party technology partner access to their data, it does not provide any warranty related to the functionality, security or integrity of the data access, transmission or processing. Despite contract provisions to protect us, clients may look to us to support and provide warranties for the third-party applications, integrations, data and content, even though those are not developed or sold by us, which may expose us to potential claims, liabilities and obligations, all of which could harm our reputation and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over the term of our customer agreements, downturns or upturns in new business may not be immediately reflected in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recognize revenue from clients ratably over the terms of their service and support agreements, which are typically 12 months. As a result, most of the revenue we report in each quarter is the result of subscription and support agreements entered into during previous quarters. Consequently, a decline in new or renewed service in any one quarter may not be reflected in our revenue results for that quarter. Any such decline, however, will negatively impact our revenue in future quarters. Accordingly, the effect of significant downturns in sales and market acceptance of our services, and changes in our attrition rate, may not be fully reflected in our results of operations until future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benefit from integration of our products and services with our business partners, for example, we are a member of Tencent’s Cloud Native Accelerator, cooperating with Tencent’s WeCom, regarding implementation. We also work with implementers such as Bluelinksys.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Chinese government bodies or agencies have in the past adopted, and may in the future adopt, laws or regulations affecting IT companies.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would limit the growth of the internet-related commerce or communications generally or result in reductions in the demand for internet-based products and services such as our products and platform. Furthermore,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renew, or retain licenses, permits or approvals or failure to comply with applicable laws and regulations may affect our ability to conduct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licensing requirements within the PRC cloud service industry are constantly evolving and we may be subject to more stringent regulatory requirements due to changes in the political or economic policies in China. The failure to obtain and/or maintain the licenses and permits required to conduct our business may subject us to various penalties, including confiscation of revenues, imposition of fines and/or restrictions on our business operations, or the discontinuation of our operations. Any such disruption in our business operations could materially and adversely affect our business, financial condition and results of operations. See “Regulations” for more details. However, we cannot assure you that we will be able to successfully obtain the licenses, including but not limited to the value-added telecommunication licenses with local counterparts of the Ministry of Industry and Information Technology, or the MIIT, if it is required under applicable laws and regulations in the future on a timely basis. Failure to do so may materially and adversely affect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WFOE has obtained the registration certificate of foreign exchange on September 4, 2023.</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registration or protection of our intellectual property rights could impair our ability to protect our proprietary technology and our brand, causing us to incur significant expenses and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may gain access to our technology, affecting our brand, causing us to incur significant expenses and harming our business. Any of our patents, trademarks or other intellectual property rights may be challenged by others or invalidated through administrative process or litigation. While we have many Chinese patents and pending Chinese and international patent applications, we may be unable to obtain patent protection for the technology covered in our patent applications or the patent protection may not be obtained quickly enough to meet our business needs. In addition, our existing patents and any patents issued in the future may not provide us with competitive advantages or may be challenged by third parties. Despite our efforts, we may still be unable to prevent third parties from using our intellectual property.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We may be required to spend significant resources and expenses to monitor and protect our intellectual property rights. We may initiate claims or litigation against third parties for infringement of our proprietary rights or to establish the validity of our proprietary rights. If we fail to protect our intellectual property rights, it could impact our ability to protect our technology and brand. Furthermore, any litigation, whether it is resolved in our favor, could result in significant expense to us, causing us to divert time and resources from our core business which results in harming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for intellectual property infringement.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software and internet industries are characterized by the existence of a large number of patents, trademarks, trade secrets and copyrights and by frequent litigation based on allegations of infringement or other violations of intellectual property rights. We depend to a large extent on our ability to effectively develop and maintain intellectual property rights relating to the business. However, we cannot assure you that third parties will not put forward claims that our business infringes upon or otherwise violates patents, copyrights or other intellectual property rights which they hold, whether valid or otherwise. For example, some of the trademarks we use are not registered with the competent authorities. We may face allegations that we have infringed the trademarks, copyrights, patents and other intellectual property rights of third parties, including our competitors, or allegations that we are involved in unfair trade practices. Our PaaS cloud service business and SaaS standard product may become involved in litigious proceedings relating to allegations of infringement of intellectual property rights, unfair competition, invasion of privacy, defamation and violations of rights of third parties. The validity, enforceability and scope of protection of intellectual property rights, particularly within China, are still evolving. As we may face increasing competition and as litigation becomes a more commonly pursued method for resolving commercial disputes in China, we may face a higher risk of being the subject of intellectual property infringement claims.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Defending against intellectual property claims is costly, time-consuming and can impose a significant burden on our management and resources. Further, there is no guarantee that we can obtain favorable final outcomes in all cases. Any adverse determination or settlement related to intellectual property claims or other litigation could prevent us from offering our services to others, could be material to our financial condition or cash flows, or both, or could otherwise adversely affect our operating results, including our operating cash flow in a particular period. In addition, depending on the nature and timing of any such dispute, an unfavorable resolution of a legal matter could materially affect our current or future results of operations or cash flows in a particular period.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18"/>
          <w:szCs w:val="18"/>
          <w:color w:val="auto"/>
        </w:rPr>
        <w:t>In recent years, the PRC government has enacted legislation relating to internet use to protect personal information from any unauthorized disclosure. For example, On August 22, 2019, the Cyberspace Administration of China (“CAC”) issued the Regulation on Cyber Protection of Children’s Personal Information, effective on October 1, 2019. On November 28, 2019, CAC, the General Office of the Ministry of Industry and Information Technology (“MIIT”), the General Office of the Ministry of Public Security (“MPS”) and the General Office of the State Administration for Market Regulation (“SAMR”) promulgated the Method for Identifying the Illegal Collection and Use of Personal Information by Apps, taking effect on November 28, 2019. The Cybersecurity Law of the PRC (the “Cybersecurity Law”), as adopted by the Standing Committee of the National People’s Congress (“SCNPC”) on November 7, 2016, has come into force on June 1, 2017. In addition, SCNPC promulgated the Data Security Law of the People’s Republic of China (the “Data Security Law”) on June 10, 2021, which became effective on September 1, 2021. The Administrative Provisions on Security Vulnerability of Network Products (the “Provisions”) was jointly promulgated by the MIIT, the CAC and the MPS on July 12, 2021 and took effect on September 1, 2021. Personal Information Protection Law (the “Personal Information Protection Law”) was promulgated in August 2021 and became effective on November 1, 2021. On December 28, 2021, the CAC and certain other PRC regulatory authorities promulgated the Measures for Cybersecurity Review (the “Cybersecurity Review Measures”). The Cybersecurity Review Measures took effect on February 1, 2022 and replace the Measures for Cybersecurity Review promulgated in April 2020. On July 7, 2022, the CAC promulgated the Measures on Security Assessment of Cross-border Data Transfer, which became effective on September 1, 2022. On December 8, 2022, the MIIT issued the Measures for Data Security Administration in the Industry and Information Technology Field (Trial Implementation) (the “Administration Measures”), which became effective on January 1, 2023. See “Regulations” for more details.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above laws and regulations are relatively new and subject to interpretation by the regulator. Although we only gain access to limited personal contact information that is necessary for, and relevant to, the services provided, we cannot assure you that whether the data we obtain, and use may include information that is deemed as “personal information” under the PRC Cyber Security Law and related data privacy and protection laws and regulations. We have placed great emphasis on protection of consumer’s data privacy and have established the information security management system; we have adopted rigorous data security measures to prevent our data from unauthorized access or use or being retrieved to establish any connection with the device owners’ identities. We will store the mobile phone number, ID number and address information of users in the order and payment module. However, such information is desensitized, so we do not have the ability to access user information in the whole chain. Technically, we have symmetric key to protect the security of customers. 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In addition, there has been an increase in regulatory activities in connection with privacy and data protection in China, and the regulatory landscape is becoming more complex with increasingly strict requirements. We may be subject to litigation or enforcement action or reduced demand for the solutions or services if our suppliers or our clients fail to abide by applicable privacy laws or to provide adequate notice and/or obtain consent from end users. Any proceeding or perception of concerns relating to our collection, use, disclosure, and retention of data, including our security measures applicable to the data we collect, whether or not valid, could adversely affect our reputation.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it could harm our reputation and brand, damage our relationships with consumers and have a material and adverse impact on our business, financial condition and results of operations.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alleged failure to comply with data privacy and protection laws and regulations could have a serious adverse effect on our reputation, and discourage current and potential consumers and users from using our services and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not a platform company that processes and analyzes user data to generate revenue. Instead, we are purely an enterprise software service company that only charges for product features. While we have adopted some measures to comply with the laws and regulations relating to the protection of personal information in China, we cannot guarantee the effectiveness of these measures. Any failure or perceived failure to comply with all applicable data privacy and protection laws and regulations, any failure or perceived failure of our employees to comply with our internal control measures, may result in negative publicity and legal proceedings or regulatory actions against it, and could damage our reputation, discourage current and potential agents, consumers and service providers from using the services and subject it to fines and damages, which could have a material adverse effect on our business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our commercial arrangements, we and our counterparties, including third-party developers and external service providers, might be subject to contractual obligations regarding the processing of personal data.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all significant risk exposures.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proceedings arising out of our operations from time to time and may face significant liabilities as a result.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involved in disputes arising from our operations. These disputes may lead to various legal or other proceedings and may result in substantial costs, damages to our brand and reputation and a diversion of resources and management’s attention. In addition, we may have disagreements with regulatory bodies in the course of our operations which may subject us to administrative proceedings and unfavorable decrees that result in pecuniary liabilities or otherwise disrupt the business operations. We cannot assure you that we will not be involved in any major disputes or legal or other proceedings in the future. Furthermore, we seek to structure our business in a tax efficient manner. If any of our arrangements is successfully challenged by the relevant tax authorities, we may incur additional tax liabilities, which could adversely affect our financial condition or results of operations. On top of that, from time to time our directors and senior management may be parties to litigation or other legal proceedings. Even though we may not be directly involved in such proceedings, such proceedings may affect our reputation and, consequently,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manufacturers, and logistics partners for our products. A loss of any of these partners could negatively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and customers for our products, which exposes to supply chain and other risks. We have previously experienced, and may experience in the future, logistical constraints that cause delays. Although we believe we have redundancy and alternatives for the suppliers for the key components of our products, our reliance on a limited number of suppliers for the components and parts for our products and the geographic concentration among our suppliers increase our supply chain risk. In addition, we do not have long-term binding commitments with any of our suppliers and instead operate on a purchase order basis. Therefore, we have no guarantee that they will continue to supply products or components for us on an ongoing basis. In the event of interruption from any of our suppliers, we may not be able to replace or increase capacity from other sources or develop alternate or secondary sources without incurring material additional costs and substantial delays. Such suppliers also have experienced logistical constraints arising from the COVID-19 pandemic.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suppliers and partners have no obligation to continue to accept purchase orders from us, and we may be unable to get them to accept additional orders or engage an alternate supplier on terms that are acceptable to us, which may undermine our ability to deliver our products to customers in a timely manner. For example, it may take a significant amount of time to identify a supplier that has the capability and resources to build our SaaS products and PaaS platform to our specifications in sufficient volume. Identifying suitable suppliers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or logistics partners could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operational and legal risks associated with being based in and having operations in China also to the extent applicable apply to operations in Hong Kong and Macau which operate under different sets of laws from those of Mainland China.</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China regulatory authority has the right to regulate our operations in accordance with the PRC laws and regulations, which could result in a material change in our operations and/or the value of the securities we are registering for sale.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Youxin Technology Ltd is a holding company and is not a Chinese operating company. As a holding company with no material operations of its own, it conducts all of its operations and operates its business in China through its PRC subsidiaries, in particular, WFOE and its subsidiary, Guangzhou Youxin. Our operations are all located in China, and all of our clients are PRC entities. Because of our corporate structure as a Cayman Islands holding company with operations conducted by our PRC subsidiaries, the China regulatory authority may exercise oversight, and the regulations to which we are subject may change. As a result, the application, interpretation, and enforcement of new and existing laws and regulations in China may be subject to change. In addition, these laws and regulations may be interpreted and applied inconsistently by different agencies or authorities, and inconsistently with our current policies and practices. New laws, regulations, and other government directives in China may require additional costs to comply with, and such compliance or any associated inquiries or investigations or any other government actions may:</w:t>
      </w:r>
    </w:p>
    <w:p>
      <w:pPr>
        <w:spacing w:after="0" w:line="19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suspend our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on our reputation or increase our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operations could be materially and adversely affected as well as the value of our Class A Shares.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oversight and supervision over the manner in which we must conduct our business activities and may intervene or influence our operations at any time in accordance with the applicable laws and regulations, which could result in a material change in our operations and the value of our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oversight and supervision over the Chinese economy in accordance with applicable laws and regulations. Our ability to operate in China is subject to changes in those laws and regulations, including those relating to securities regulation, data protection, cybersecurity and mergers and acquisitions and other matters. The central or local governments of these jurisdictions may impose new, stricter regulations that would require additional expenditures and efforts on our part to ensure our compliance with such regulations.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affected, directly or indirectly, by existing or future laws and regulations relating to our business or industry.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continue to offer securities to investors and cause the value of such securities to significantly decline or become worthless.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government agencies may exert more oversight and control over offerings that are conducted overseas and in foreign investment in China-based issuers, especially those in the technology field. Additional compliance procedures may be required in connection with this offering under PRC rules, regulations or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 Substantial uncertainty remains regarding the scope and applicability of the M&amp;A Rules to offshore special purpose vehicles.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and relevant supporting guidelines, which became effective on March 31, 2023. According to the New Administrative Rules Regarding Overseas Listings, among other things,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3 working days after the relevant application is submitted overseas. If an issuer offers securities in the same overseas market where it has previously offered and listed securities,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3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 Since our PRC subsidiary Guangzhou Youxin contributed more than 50% of our consolidated revenues, profit, total assets or net assets for each of the fiscal years ended September 30, 2023 and September 30, 2024 and our operations are substantially conducted in the PRC, this offering constitutes an indirect offering by domestic companies under the Trial Administrative Measures and we are therefore subject to the filing requirements for this offering thereunder.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52" w:lineRule="auto"/>
        <w:rPr>
          <w:sz w:val="20"/>
          <w:szCs w:val="20"/>
          <w:color w:val="auto"/>
        </w:rPr>
      </w:pPr>
      <w:r>
        <w:rPr>
          <w:rFonts w:ascii="Times New Roman" w:cs="Times New Roman" w:eastAsia="Times New Roman" w:hAnsi="Times New Roman"/>
          <w:sz w:val="18"/>
          <w:szCs w:val="18"/>
          <w:color w:val="auto"/>
        </w:rPr>
        <w:t>Any failure of us to fully comply with new regulatory requirements may significantly limit or completely hinder our ability to offer or continue to offer our Class A Shares, cause significant disruption to our business operations, and severely damage our reputation, which would materially and adversely affect our financial condition and results of operations and cause our Class A Shares to significantly decline in value or become worthless. On September 6, 2024, the MOFCOM, and the NDRC promulgated the Special Administrative Measures for Access of Foreign Investment (2024 Edition), or the Negative List (2024). The Negative List (2024) stipulates that if a domestic enterprise engaged in business in the prohibited investment field issues shares abroad and is listed for trading, it shall be examined and approved by the relevant competent authorities of the state. According to a press release issued by the NDRC in relation to the Negative List (2021), the above provisions are only applicable to the direct overseas listing of domestic enterprises engaged in the prohibited investment field. However, if the CSRC or other regulatory agencies later promulgate new rules or explanations requiring that we should obtain such approvals for this offering and any follow-on offering, we may be unable to obtain such approvals which could significantly limit or completely hinder our ability to offer or continue to offer securities to our investors. The CSRC or other PRC regulatory agencies may also take actions requiring us, or making it advisable for us, to halt this offering before the settlement and delivery of the Class A Shares that we are offering. Consequently, if you engage in market trading or other activities in anticipation of and prior to the settlement and delivery of the Class A Shares we are offering, you would be doing so at the risk that the settlement and delivery may not occur. Any uncertainties or negative publicity regarding such approval requirements could have a material adverse effect on our ability to complete this offering or any follow-on offering of our securities or the market for and market price of our Class A Shares.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subject to various government regulations and regulatory interference. We may incur increased costs necessary to comply with existing and newly adopted laws and regulations or penalties for any failure to comply. Furthermore, given recent statements by the Chinese government indicating an intent to exert more oversight and control over offerings that are conducted overseas, although as of the date of this prospectus, we have not been involved in any investigations initiated by the applicable governmental regulatory authorities, nor have we received any inquiry, notice, warning, or sanction in such respect, it is uncertain whether or when we might be required to obtain permission from any related PRC government to list our shares on Nasdaq, and even if such permission is obtained, whether it will be later denied or rescinded, which could significantly limit or completely hinder our ability to offer or continue to offer our Class A Shares to investors and cause the value of our Class A Shares to significantly decline or be worthless. If our subsidiary (i) do not receive or maintain such permissions or approvals, should the approval be required in the future by the PRC government, (ii) inadvertently conclude that such permissions or approvals are not required, or (iii) applicable laws, regulations, or interpretations change and we are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the filing with the CSRC in a timely manner, the securities to be offered may substantially decline in value and become worthless.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According to the Trial Measures and the five supporting guidelines (collectively, the “New Overseas Listing Rules”), a domestic enterprise in the PRC that seeks to offer and list securities in overseas markets shall fulfill the filing procedures with the CSRC in accordance with the Trial Administrative Measures. Where a domestic enterprise seeks to directly offer and list securities in overseas markets, the issuer shall file with the CSRC. Where a domestic enterprise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three working days after the relevant application is submitted overseas. If an issuer offers securities in the same overseas market where it has previously offered and listed securities, filings shall be made with the CSRC within three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the CSRC within three working days after the occurrence and public disclosure of such event. Pursuant to the Trial Administrative Measures, if the issuer meets both the following criteria, the overseas securities offering and listing conducted by such issuer will be deemed an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Notice on the Administrative Arrangements for the Filing of the Overseas Securities Offering and Listing by Domestic Companies from the CSRC, or the CSRC Notice, the domestic companies that have already been listed overseas before the effective date of Trial Administrative Measures shall be deemed as the Existing Issuers. Although Existing Issuers are not required to complete the filing procedures immediately, Existing Issuers shall be required to file with the CSRC for any subsequent offerings.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we did not obtain approval from the SEC for the overseas offering and listing of our Class A Shares on or before March 31, 2023, our PRC counsel advised us that we are required to complete the filing procedures with the CSRC in connection with our initial public offering and listing. We submitted the required filing materials to the CSRC on June 7, 2023. The CSRC accepted the filing application documents and provided its comments on July 11, 2023. We submitted the response to those comments on July 25, 2023. On February 7, 2024, we received from the CSRC a filing notice which indicated that we had completed the required filing application procedures for our initial public offering.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Trial Administrative Measures, we, once listed overseas, are required to submit the required filing materials to the CSRC for any follow-on offerings in the same overseas stock market, such as this offering, within three business days upon the completion of such offerings, as long as we continue to fall under the scope of “overseas securities offering and listing by PRC domestic companies,” as explained above. We plan to submit the required filing materials to the CSRC within three business days upon the completion of this offering. The CSRC usually will conclude the filing procedures and publish the filing results on the CSRC website within twenty working days after receiving the filing documents if the filing documents are complete and comply with the stipulated documents. However, during the filing process, the CSRC may request us to comply with additional documents or may consult with competent authorities, the time for which will not be counted in the twenty working days. Any failure on our part to fully comply with new regulatory requirements may significantly limit or completely hinder our ability to offer or continue to offer our Class A Shares, which will cause significant disruption to our business operations, and severely damage our reputation, which would materially and adversely affect our financial condition and results of operations and cause our Class A Shares to significantly decline in value or become worthless.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compliance procedures may be required in connection with this offering, due to the promulgation of the new filing-based administrative rules for overseas offering and listing by domestic companies in China, which could significantly limit or completely hinder our ability to offer or continue to offer our ordinary shares to investors and could cause the value of our ordinary shares to significantly decline or become worthless.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Relative to the CSRC’s Trial Administrative Measures and five supporting guidelines, which went into effect on March 31, 2023, and pursuant to Article 16 of the Trial Measures, domestic companies that seek to offer or list securities overseas, both directly and indirectly, shall submit filing materials to the CSRC pursuant to the requirements of the Trial Measures within three working days following its submission of initial public offerings or listing application. Where an issuer offers securities in the same overseas market after overseas initial public offerings or listing, it shall submit filing materials to the CSRC within three working days after completion of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Trial Administrative Measures, we have to file with the CSRC with respect to this offering, and the CSRC will conclude the filing procedures and publish the filing results on the CSRC website within twenty working days after receiving the filing documents, if the filing documents are complete and in compliance with the stipulated requirements. However, during the filing process, the CSRC may request our company to supply additional documents or may consult with competent authorities, the time for which will not be counted in the twenty working days. The required filing materials with the CSRC in relation to the offering include (without limitation): (i) record-filing reports and related undertakings; (ii) PRC legal opinions issued by domestic law firms (with related undertakings). Pursuant to the Trial Administrative Measures, if the issuer meets both the following criteria,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attributed to domestic companies; and (ii) the main parts of the issuer’s business activities are conducted in the PRC, or its main place(s) of business are located in the PRC, or the majority of senior management staff in charge of its business operations and management are PRC citizens or have their usual place(s) of residence located in the PRC.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Since our PRC subsidiary contributed more than 50% of our consolidated revenues, profit, total assets or net assets for each of the fiscal years ended September 30, 2024, September 30, 2023 and September 30, 2022, and our operations are substantially conducted in the PRC, our offering constitutes an indirect offering by domestic companies under the Trial Administrative Measures and we are therefore required to complete the filing procedures with the CSRC in connection with this offering. Any failure or perceived failure of our company to fully comply with the filing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 Also see “RISK FACTORS – </w:t>
      </w:r>
      <w:r>
        <w:rPr>
          <w:rFonts w:ascii="Times New Roman" w:cs="Times New Roman" w:eastAsia="Times New Roman" w:hAnsi="Times New Roman"/>
          <w:sz w:val="18"/>
          <w:szCs w:val="18"/>
          <w:i w:val="1"/>
          <w:iCs w:val="1"/>
          <w:color w:val="auto"/>
        </w:rPr>
        <w:t>Risks Related to Doing Business in China – 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complete the filing with the CSRC in a timely manner, the securities to be offered may substantially decline in value and become worthless” </w:t>
      </w:r>
      <w:r>
        <w:rPr>
          <w:rFonts w:ascii="Times New Roman" w:cs="Times New Roman" w:eastAsia="Times New Roman" w:hAnsi="Times New Roman"/>
          <w:sz w:val="18"/>
          <w:szCs w:val="18"/>
          <w:color w:val="auto"/>
        </w:rPr>
        <w:t>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 as to the risks related to our compliance of the Trial Measures.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laws and regulations governing our current business operations are sometimes vague and uncertain and any changes in such laws and regulations may impair our ability to operate profitably.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including, but not limited to, the laws and regulations governing our business and the enforcement and performance of our arrangements with clients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subject to the legal and operational risks associated with being based in and having substantially all operations in Mainland China. The operational and legal risks associated with being based in and having operations in China also to the extent applicable apply to operations in Hong Kong and Macau which operate under different sets of laws from those of Mainland China. These risks may result in material changes in operations, or a complete hindrance of our ability to offer or continue to offer our securities to investors and could cause the value of our securities to significantly decline or become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Cybersecurity Review Measures (2021 version) was issued, which became effective on February 15, 2022. The Anti-Monopoly Law, which took effect in 2008 and was amended on June 24, 2022, which amendment became effective August 1, 2022, established additional procedures and requirements that could make merger and acquisition activities by foreign investors more time consuming and complex. As of the date of this prospectus, the above regulations have not impacted our ability to conduct the business, accept foreign investments, or list on a U.S. or other foreign exchange; however, there are uncertainties in the interpretation and enforcement of these new laws and guidelines, which could materially and adversely impact our overall business and financial outlook.</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 and may intervene or influence our operations at any time, which could result in a material change in our operations and the value of our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Our ability to operate in China may be harmed by changes in those laws and regulations, including those relating to securities regulation, data protection, cybersecurity and mergers and acquisitions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actions in the future could significantly affect economic conditions in China or particular regions thereof and could require us to materially change our operating activities or divest ourselves of any interests we hold in Chinese assets. Our business may be subject to various government and regulatory interference in the provinces in which we operate.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CSRC may exert more oversight and control over offerings that are conducted overseas and in foreign investment in China-based issuers, especially those in the technology field. Additional compliance procedures may be required in connection with this offering. As a result, we face uncertainty about future actions by the PRC government that could significantly affect our ability to offer or continue to offer securities to investors and cause the value of our securities to significantly decline or be worthless.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Since this document is relatively new, uncertainties still exist in relation to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Chinese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Chinese government continues to exert more oversight and control over Chinese technology firms. On July 2, 2021, Chinese cybersecurity regulator announced, that it had begun an investigation of Didi Global Inc. (NYSE: DIDI) and two days later ordered that the company’s application be removed from smartphone application stores. On July 5, 2021, the Chinese cybersecurity regulator launched the same investigation on two other internet platforms, China’s Full Truck Alliance of Full Truck Alliance Co. Ltd. (NYSE: YMM) and BOSS Zhipin of Kanzhun Limited (Nasdaq: BZ).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CSRC and other Chinese government agencies may exert more oversight and control over offerings that are conducted overseas and in foreign investment in China-based issuers, especially those in the technology filed. Additional compliance procedures may be required in connection with this offering and our business operations, and, if required, we cannot predict we will be able to obtain such approval. As a result, we face uncertainty about future actions by the PRC government that could significantly affect our ability to offer or continue to offer securities to investors and cause the value of our ordinary shares to significantly decline or be worthless.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PRC laws relating to the collection, use, sharing, retention, security, and transfer of confidential and private information, such as personal information and other data. These laws continue to develop, and the PRC government may adopt other rules and restrictions in the future. Non-compliance could result in penalties or other significant legal liabilities.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Cybersecurity Law, which was adopted by the National People’s Congress on November 7, 2016 and came into force on June 1, 2017, and the Cybersecurity Review Measures (2020 Version), which were promulgated on April 13, 2020, provide that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should be subject to cybersecurity review by the CAC. In addition, a cybersecurity review is required where critical information infrastructure operators, or the “CIIOs,” purchase network-related products and services that affect or may affect national security.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controlling personal information of more than 1 million users which seeks to list in a foreign stock exchange should apply for a cybersecurity review.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And on September 24, 2024, the State Council published the Network Data Security Administrative Regulations which became effect on January 1, 2025. The Network Data Security Administrative Regulations provides that network data processing operators engaging in network data processing activities that affect or may affect national security must be subject to the cybersecurity review in accordance with applicable national laws. According to the Cybersecurity Review Measures (2021 Version), a cybersecurity review is conducted by the CAC, to assess potential national security risks that may be brought about by any procurement, data processing, or overseas listing. The state establishes a data classification protection system.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further require that online platform operators that possess personal data of at least one (1) million users must apply for a cybersecurity review if they plan to conduct listings in foreign countries.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Cybersecurity Review Measures (2021 Version) and the Network Data Security Administrative Regulations were recently adopted, and their implementation provisions and anticipated adoption or effective date remains are not issued yet. Due to the lack of further interpretations, the exact scope of what constitutes a “CIIO,” “online platform operators,” “data processors,” or “data handlers” will be determined according to the then applicable laws and regulations. Further, any future regulatory changes would impose additional requirements on companies like us. We do not believe our business and activities would affect or may affect national security or we are among the “operators of critical information infrastructure” as mentioned above. However, as of the date of this prospectus, we have not received any notice from any authorities identifying us as a CIIO or an online platform operator or requiring it to undertake a cybersecurity review by the CAC. Further, we have not been subject to any penalties, fines, suspensions, investigations from any competent authorities for violation of the regulations or policies that have been issued by the CAC to date. As the interpretation or implementation of those rules and whether the PRC regulatory agencies, including the CAC, may adopt new laws, regulations, rules, or detailed implementation and interpretation related to the Cybersecurity Review Measures (2021 Version) and Network Data Security Administrative Regulations,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our operations. We may be required to suspend new user registration in China or experience other disruptions to our operations should it be required to have a cybersecurity review by the CAC. Any cybersecurity review could also result in negative publicity with respect to us and diversion of our managerial and financial resources. There is no certainty as to how such review or prescribed actions would impact our operations and we cannot guarantee that any clearance can be obtained or any actions that may be required for our listing on the Nasdaq Capital Market and the offering as well can be taken in a timely manner, or at all.</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requirements with respect to cybersecurity and data privacy are constantly evolving and can be subject to varying interpretations, and significant changes, resulting in uncertainties about the scope of our responsibilities in that regard. Failure to comply with the cybersecurity and data privacy requirements in a timely manner, or at all, may subject us to government enforcement actions and investigations, fines, penalties, suspension or disruption of our operations, among other things.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policy pronouncements by the PRC government regarding business activities of U.S.-listed PRC businesses may negatively impact our Hong Kong subsidiary.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2020, the Standing Committee of the NPC promulgated the Law of the PRC on Safeguarding National Security in Hong Kong. The interpretation of the Law of the PRC on Safeguarding National Security in Hong Kong involves a degree of uncertainty.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PRC government’s significant oversight over the conduct of business operations in Mainland China and in Hong Kong, and in light of the PRC government’s recent extension of authority not only in Mainland China but into Hong Kong, there are risks and uncertainties which we cannot foresee for the time being, and rules and regulations in the PRC can change quickly with little or no advance notice. For example, the government of Hong Kong may enact similar laws and regulations to those in Mainland China, which may seek to exert control over offerings conducted overseas by Hong Kong companies. If any or all of the foregoing were to occur, it could affect our operations and limit or hinder our ability to offer securities to overseas investors or remain listed in the U.S., which could cause the value of the securities we are registering for sale to significantly decline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profitability.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have increased in recent years and are expected to continue to grow. The average wage level for our employees has also increased in recent years. We expect that our labor costs, including wages and employee benefits, will continue to increase. Unless we can pass on these increased labor costs to those who pay for our services, our profitability and results of operations may be materially and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employees and paying various statutory employee benefits, including pensions insurance, housing provident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addition, enterprises are forbidden to force laborers to work beyond the time limit and employers shall pay laborers for overtime work in accordance with the laws and regulations.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comply with all labor-related law and regulations, including those relating to obligations to make social insurance payments, to contribute to the housing provident fund, and to make overtime payment and other similar payment payable by us to our employees. If it is deemed to have violated relevant labor laws and regulations, we could be required to provide additional compensation to employees and be subject to orders by competent labor authorities for rectification, and failure to comply with the orders may further subject us to administrative fines. In such an event, our business, financial condition and results of operations will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if we fail to comply with social insurance and housing provident fund related laws and regulations.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 our core business in PRC, and we are required by PRC labor laws and regulations to pay various statutory employee benefits, including pensions insurance, medical insurance, work-related injury insurance, unemployment insurance, maternity insurance and housing provident fund, to designated government agencies for the benefit of our employees and associates. In October 2010, SCNPC promulgated the Social Insurance Law of PRC, effective on July 1, 2011 and amended it on December 29, 2018. On April 3, 1999, the State Council promulgated the Regulations on the Administration of Housing Provident Fund, which was amended on March 24, 2002 and March 24, 2019. Companies registered and operating in China are required under the Social Insurance Law of PRC and the Regulations on the Administration of Housing Provident Fund to apply for social insurance registration and housing provident fund deposit registration within thirty (30) days of their establishment and to pay for their employees different social insurance including pension insurance, medical insurance, work-related injury insurance, unemployment insurance and maternity insurance to the extent required by law. According to the PRC Social Insurance Law, if a person or entity obtains social insurance benefits through fraud, falsification of documents, or other means, the social insurance administrative department must order the fraudulent social insurance benefits to be returned and impose a fine equal to or less than five times the fraudulent amount. We could be subject to orders by competent labor authorities for rectification if we fail to comply with such social insurance and housing provident fund related laws and regulations, and failure to comply with the orders may further subject us to administrative fines. The relevant government agencies may examine whether an employer has made adequate payments of the requisite statutory employee benefits, and employers who fail to make adequate payments may be subject to late payment fees, fines and/or other penalties.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did not make contributions in full for the social insurance fund and housing provident fund for our employees as required under the relevant PRC laws and regulations. We also make contributions for the social insurance fund and housing provident fund for persons who are not our employees. Although we have not received any order or notice from the local authorities nor any claims or complaints from our current and former employees regarding any non-compliance in this regard, we cannot assure that we will not be subject to any order to rectify non-compliance in the future, nor can we assure that there are no, or will not be any, employee complaints regarding social insurance payment or housing provident fund contributions against us, or that we will not receive any claims in respect of social insurance payment or housing provident fund contributions under the PRC laws and regulation. In addition, we may incur additional costs to comply with such laws and regulations by the PRC Government or relevant local authorities. Any such development could materially and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if we fail to comply with PRC laws and regulations relating to compensations for laid-off employees.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PRC Labor Contract Law (the “PRC Labor Contract Law”) which was promulgated by the Standing Committee of the National People’s Congress on June 29, 2007, with the latest amendment taking effect on July 1, 2013, when an employer terminates the labor contract with an employee through negotiations, the employer shall pay to the employee compensations based on the number of years the employee has worked for the employer. If an employer fails to pay, the labor administrative department may order the employer to pay to the employee the statutorily required compensations within a time limit; if payment is not made within the time limit, the employer may be ordered to pay an extra compensation to the employee at a rate of not less than 50 percent and not more than 100 percent of the payable amount.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did not make compensations for certain laid-off employees to the extent as required by the PRC Labor Contract Law and other applicable laws and regulations. Therefore, we may be ordered by the competent authority to pay to the laid-off employees the statutorily required compensations within a time limit; if payment is not made within the time limit, we may be ordered to pay an extra compensation to the laid-off employees at a rate of not less than 50 percent and not more than 100 percent of the payable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keep the net log for the length of period as required under applicable PRC laws may expose us to potential penalties.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Cybersecurity Law provides that network operators shall, according to the requirements of the rules for graded protection of cybersecurity, take technical measures to monitor and record the status of network operation and cybersecurity incidents, and preserve relevant net logs for not less than six months, failing which the competent department may order it to take corrective action and give it a warning. If the operator refuses to take corrective action, or such consequences as endangering cybersecurity are caused, the operator may be subject to fines not less than RMB10,000 but not more than RMB100,000, and its directly responsible person in charge may be imposed on fines not less than RMB5,000 but not more than RMB50,000.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We did not keep the net log for at least a period of six months as required by the Cybersecurity Law, and therefore we may be subject to orders by competent authority to take corrective actions, and fines not less than RMB10,000 but not more than RMB100,000, and our directly responsible person in charge may be imposed on fines not less than RMB5,000 but not more than RMB50,000.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Failing to register lease agreements with the relevant PRC government authorities as required by PRC law may expose us to potential fines.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two of our lease agreements for our leased buildings in China are not registered with the relevant PRC government authorities 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We cannot guarantee, however, all leases will be registered timely by the lessors in the future. In the event that any fine is imposed on us for our failure to register our lease agreements, we may not be able to recover such losses from the lessors.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could be challenged by property owners or other third parties, which may disrupt our operations and incur relocation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may be risk that our use of the leased properties is inconsistent with the designated purpose of the property use, for example a leased property might be leased to use for office space only but not for any other purposes, in which case we may not be able to continue to use the leased properties. Besides, the lessor may not have entitlement to lease the properties to us. The above risks might interrupt our business operations.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registered offices of certain PRC Entities are not used as the principal place of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the registered offices of certain PRC Entities are not used as the principal place of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Regulation of the People’s Republic of China on the Administration of the Registration of Market Entities, in the event of any changes in the registered information, an entity shall apply to the registration authority for registration within 30 days after the resolution or decision in relation to such changes is made or the changes occur, failing which the competent authority may order the entity to rectify, impose a fine of not less than RMB10,000 but not exceeding RMB100,000 if the entity refuses to rectify and revoke its business license under severe circumstances.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failure to register its principal place of business as the registered address exposes certain PRC Entities to risks of order by the competent authority to make corrections and fines if it refuses to obey.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Foreign Corrupt Practices Act and Chinese anti-corruption law.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We have operations, agreements with third parties, and provide services in Mainland China, which may experience corruption. Our activities in Mainland China create the risk of unauthorized payments or offers of payments by one of the employees or the consultants, because these parties are not always subject to our control. We are in the process of implementing an anticorruption program, which prohibits the offering or giving of anything of value to foreign officials, directly or indirectly, for the purpose of obtaining or retaining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existing safeguards and any future improvements may prove to be less than effective, and the employees or the consultants may engage in conduct for which we might be held responsible. Violations of the FCPA or Chinese anti-corruption laws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political and economic policies of the PRC government could have a material adverse effect on the overall economic growth of China, which could reduce the demand for our services and materially and adversely affect our competitive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of our business operations are conducted in China. Accordingly, our business, results of operations, financial condition and prospects are subject to economic, political and legal developments in China. The PRC government exercises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30 years. In response to the recent global and Chinese economic downturn, the PRC government has adopted policy measures aimed at stimulating the economic growth in China. If the PRC government’s current or future policies fail to help the Chinese economy achieve further growth or if any aspect of the PRC government’s policies limits the growth of our industry or otherwise negatively affects our business, the growth rate or strategy, our results of operations could be adversely affected as a result.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 of loans to and direct investment in PRC entities by offshore holding companies and governmental control of currency conversion may delay or prevent us from using the proceeds of this offering to make loans or additional capital contributions to our subsidiaries, which could materially and adversely affect our liquidity and ability to fund and expand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subsidiaries. We may make loans to the subsidiaries subject to the approval from or registration with governmental authorities and limitation on amount, we may make additional capital contributions to the subsidiaries, we may establish new PRC subsidiaries and make capital contributions to these new PRC subsidiaries, or we may acquire offshore entities with business operations in Mainland China in an offshore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aforementioned ways of making loans or investments in PRC entities are subject to PRC regulations, registrations, submission or approvals. For example, any loans to the subsidiaries and WFOE are subject to applicable foreign loan registrations with the local counterpart of the State Administration of Foreign Exchange (“SAFE”) and limitation on amount under PRC law. If we decide to finance our subsidiaries and WFOE by means of capital contributions, these capital contributions are subject to submission of information to and registration with certain PRC government authorities, including MOFCOM or its local counterparts and the State Administration of Market Regulation (“SAMR”) through its Enterprise Registration System, the National Enterprise Credit Information Publicity System and the local counterpart of SAFE. In addition, an FIE shall use its capital pursuant to the principle of authenticity and self-use in accordance within its business scope.</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Mode of Management of Settlement of Foreign Exchange Capital of Foreign Invested Enterprises, or SAFE Circular 19, effective June 2015 and amended in December 2019, in replacement of a former regulation. According to SAFE Circular 19, the flow and use of the RMB capital converted from foreign currency-denominated registered capital of a foreign-invested company is regulated such that RMB capital may not be used for the issuance of RMB entrusted loans (unless otherwise permitted in the business license), the repayment of inter-enterprise loans or the repayment of bank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our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Specifically, SAFE Circular 16 provides that the capital of an FIE shall not be used for the following purposes: (i) directly or indirectly used for payment beyond the business scope of such FIE or the payment prohibited by relevant laws and regulations; (ii) directly or indirectly used for investment in securities or investments in financial management other than banks’ principal-secured products unless otherwise provided by relevant laws and regulations;</w:t>
      </w:r>
    </w:p>
    <w:p>
      <w:pPr>
        <w:spacing w:after="0" w:line="11" w:lineRule="exact"/>
        <w:rPr>
          <w:sz w:val="20"/>
          <w:szCs w:val="20"/>
          <w:color w:val="auto"/>
        </w:rPr>
      </w:pPr>
    </w:p>
    <w:p>
      <w:pPr>
        <w:jc w:val="both"/>
        <w:ind w:firstLine="8"/>
        <w:spacing w:after="0" w:line="251" w:lineRule="auto"/>
        <w:tabs>
          <w:tab w:leader="none" w:pos="3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loans to non-affiliated enterprises, except where it is expressly permitted in the business license; and (iv) paying the expenses related to the purchase of real estate that is not for self-use (except for the foreign-invested real estate enterprises). Violations of SAFE Circular 19 and SAFE Circular 16 could result in administrative penalties. SAFE Circular 19 and SAFE Circular 16 may significantly limit our ability to transfer any foreign currency we hold, including the net proceeds from this offering, to our subsidiaries, which may adversely affect our liquidity and our ability to fund and expand our business in Mainland China. On October 23, 2019, the SAFE promulgated the Notice of the State Administration of Foreign Exchange on Further Promoting the Convenience of Cross-border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or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since the SAFE Circular 28 and SAFE Circular 8 are relatively new, it is unclear how SAFE and competent banks will carry them out in practice.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submission or obtain the necessary government approvals on a timely basis, or at all, with respect to future loans by us to WFOE or our subsidiaries or with respect to future capital contributions by us to WFOE or our subsidiaries If we fail to complete such registrations, submission or obtain such approvals, our ability to use the proceeds from our public offering and to capitalize or otherwise fund our PRC operations may be negatively affected, which could materially and adversely affect our liquidity and our ability to fund and expand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rely on funding on dividend payments from WFOE and Guangzhou Youxin, which are subject to restrictions under PRC laws.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we operate our core businesses only through our subsidiary in the PRC. Therefore, the availability of funds for us to pay dividends to our shareholders and to service our indebtedness depends upon dividends received from the PRC subsidiary. If the PRC subsidiary incurs debt or losses, their ability to pay dividends or other distributions to us may be impaired. As a result, our ability to pay dividends and to repay our indebtedness will be restricted. PRC laws require that dividends be paid only out of the after-tax profit of the PRC subsidiary calculated according to PRC accounting principles, which differ in many aspects from generally accepted accounting principles in other jurisdictions. PRC laws also require enterprises established in the PRC to set aside part of their after-tax profits as statutory reserves. These statutory reserves are not available for distribution as cash dividends. In addition, restrictive covenants in bank credit facilities or other agreements that we or our subsidiaries may enter into in the future may also restrict the ability of our subsidiaries to pay dividends to us. These restrictions on the availability of our funding may impact our ability to pay dividends to our shareholders and to service our indebtedness.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our PRC Subsidiary declares bankruptcy or becomes subject to a dissolution or liquidation proceeding.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subsidiary holds certain assets that are important to our business operations. If any of the PRC subsidiary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SAFE’s Notice of the State Administration of Foreign Exchange on Further Improving and Adjusting Foreign Exchange Administration Policies for Direct Investment, effective on December 17, 2012, and lastly amended in 2019, and the Provisions for Administration of Foreign Exchange Relating to Inbound Direct Investment by Foreign Investors, effective on May 13, 2013 and lastly amended in 2019, if our PRC Subsidiary undergoes a voluntary or involuntary liquidation proceeding, prior approval from the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cash in the business is in the PRC and Hong Kong or a PRC or Hong Kong entity, the funds may not be available to fund operations or for other use outside of the PRC/Hong Kong.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cash is generated in our PRC subsidiary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funds or assets by the PRC government. If certain PRC laws and regulations, including existing laws and regulations and those enacted or promulgated in the future were to become applicable to our Hong Kong subsidiary in the future, any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our ability to transfer or distribute cash, which could result in an inability or prohibition on making transfers or distributions to entities outside of Mainland China and Hong Kong and adversely affect our business. Saved as the foregoing limitations imposed by the PRC government as described hereto, there are currently no limitations on our or our subsidiaries’ ability to transfer cash to investors.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ordinary shares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though largely all of our revenue and expenses are denominated in RMB, fluctuations in exchange rates may nonetheless in the future adversely affect the value of our net assets and earnings. In particular, proceeds from the offering are made in U.S. dollars. Any unfavorable movement in the exchange rate of RMB against the U.S. dollar may adversely affect the value of our proceeds from the offering. In addition, any unfavorable movement in the exchange rate of RMB against other foreign currencies may also lead to an increase in our costs, which could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process or enforcing foreign judgments against us, our respective executive officers and directors residing in China.</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our assets are located in China and all of our directors and senior management reside in China. Therefore, it may not be possible to effect service of process or elsewhere outside of China upon us, our respective directors or senior management. Moreover, China has not entered into treaties for the reciprocal recognition and enforcement of court judgments with Japan, the United Kingdom, the United States and many other countries. As a result, recognition and enforcement in China of a court judgment obtained in other jurisdictions may be difficult or impossible.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under the PRC laws relating to the procedures and time requirement for the U.S. regulators to bring about investigations and evidence collection within the territory of the PRC.</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2019, the newly amended Securities Law of the PRC (the “PRC Securities Law”) was officially promulgated, which became effective on March 1, 2020. According to Article 177 of the PRC Securities Law (the “Article 177”), the securities regulatory authority of the State Council may establish a regulatory cooperation mechanism with the securities regulatory authorities of another country or region to implement cross-border supervision and administration. Article 177 further provides that the overseas securities regulatory authorities may not carry out investigations and evidence collection directly within the territory of the PRC, and that no Chinese entity or individual is allowed to provide any documents or materials related to securities business activities to overseas agencies without prior consent of the securities regulatory authority of the State Council and the competent departments of the State Council. Moreover, the Civil Procedure Law of the PRC, promulgated in 1991 and last amended in 2017, provides that except for the request for and provision of judicial assistance in accordance with international treaties concluded or participated by the PRC, or via diplomatic channels, no foreign agency or individual may, without the consent of the competent authorities of the PRC, carry out investigation or collect evidence within the territory of the PRC.</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our understanding that (i) the Article 177 is applicable in the circumstances related to direct investigation or evidence collection conducted by overseas authorities within the territory of the PRC (in such case, the foregoing activities are required to be conducted through collaboration with or by obtaining prior consent of competent PRC authorities) and (ii) as of the date of this prospectus, we are not aware of any implementing rules or regulations which have been published regarding application of the Article 177.</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business operation is conducted in the PRC. In the event that the U.S. regulators carry out investigation on us and there is a need to conduct investigation or collect evidence within the territory of the PRC, the U.S. regulators may not be able to carry out the investigation or evidence collection directly in the PRC under the PRC laws. The U.S. regulators may consider cross-border cooperation with securities regulatory authority of the PRC by way of judicial assistance, diplomatic channels or regulatory cooperation mechanism established with the securities regulatory authority of the PRC. However, there is no assurance that the U.S. regulators could succeed in establishing such cross-border cooperation in a specific case or could establish the cooperation in a timely manner.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as the Article 177 is relatively new and there is no implementing rules or regulations which have been published regarding application of the Article 177, it remains unclear how the law will be interpreted, implemented or applied by the CSRC or other relevant government authorities. As such, there are uncertainties as to the procedures and time requirement for the U.S. regulators to bring about investigations and evidence collection within the territory of the PRC. If U.S. regulators are unable to conduct such investigations, such U.S. regulators may determine to suspend and ultimately delist our ordinary shares from The Nasdaq Capital Market or choose to suspend or de-register our SEC registration.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 listed Chinese companies, we may have to expend significant resources to investigate and resolve the matter which could harm our business operations, this offering and our reputation and could result in a loss of your investment in our shares, especially if such matter cannot be addressed and resolved favorably.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criticism and negative publicity by investors, financial commentators and regulatory agencies, such as the U.S. Securities and Exchange Commission (“SEC”). Much of the scrutiny, criticism and negative publicity has centered around financial and accounting irregularities, a lack of effective internal controls over financial accounting, inadequate corporate governance policies or a lack of adherence thereto and, in some cases, allegations of fraud. As a result of the scrutiny, criticism and negative publicity, the publicly traded stock of many U.S.-listed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this offering. If we become the subject of any unfavorable allegations, whether such allegations are proven to be true or untrue, we will have to expend significant resources to investigate such allegations and/or defend our company. This situation may be a major distraction to our management. If such allegations are not proven to be groundless, our company and our business operations will be severely hampered and your investment in our shares could be rendered worthless.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shareholders to penalties and limit our ability to inject capital into our PRC subsidiary, limit our ability to distribute profits to us, or otherwise adversely affect 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SAFE promulgated the Notice on Relevant Issues Relating to Domestic Resident’s Investment and Financing and Roundtrip Investment through Special Purpose Vehicles, or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material change of capitalization or structure of the PRC resident itself (such as capital increase, capital reduction, share transfer or exchange, merger or spin off).</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requested PRC residents whom we know hold direct or indirect interests in our company to make the necessary applications, filings and amendments as required under Circular 37 and other related rules. However, we cannot assure you that the registration will be duly and timely completed with the local SAFE branch or qualified banks. In addition, we may not be informed of the identities of all of the PRC residents holding direct or indirect interests in our company.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subsidiary, could subject us to fines or legal sanctions, restrict our overseas or cross-border investment activities, limit our PRC subsidiary’s ability to make distributions or pay dividends or affect our ownership structure, which could adversely affect our business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Individual Foreign Exchange Rules relating to the overseas direct investment or the engagement in the issuance or trading of securities overseas by our PRC resident shareholders may subject such shareholders to fines or other liabilities.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Circular 37, our ability to conduct foreign exchange activities in the PRC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PRC individuals who fail to make such registrations may be subject to warnings, fines or other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fully informed of the identities of all our beneficial owners who are PRC residents. For example, because the investment in or trading of our shares will happen in an overseas public or secondary market where shares are often held with brokers in brokerage accounts, it is unlikely that we will know the identity of all of our beneficial owners who are PRC residents. Furthermore, we have no control over any of our future beneficial owners and we cannot assure you that such PRC residents will be able to complete the necessary approval and registration procedures required by the Individual Foreign Exchange Rules.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uncertain how the Individual Foreign Exchange Rules will be interpreted or enforced and whether such interpretation or enforcement will affect our ability to conduct foreign exchange transactions. Because of this uncertainty, we cannot be sure whether the failure by any of our PRC resident shareholders to make the required registration will subject our PRC subsidiary to fines or legal sanctions on their operations, delay or restriction on repatriation of proceeds of this offering into the PRC, restriction on remittance of dividends or other punitive actions that would have a material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subsidiaries were to lose their favorable tax treatments, we could face higher tax rates than we currently pay for much of our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Enterprise Income Tax Law (“EIT Law”), which became effective on January 1, 2008, and was last amended on December 29, 2018, generally applies a uniform enterprise income tax (“EIT”) rate of 25% to both foreign-invested enterprises (“FIEs”) and domestic enterprises. Certified High and New Technology Enterprises (“HNTE”) are entitled to a favorable statutory tax rate of 15%, but need to re-apply every three years. During this three-year period, if a competent authority finds that an HNTE does not meet the HNTE criteria, the enterprise cannot continue to enjoy the 15% preferential tax rate, and must instead use the regular 25% EIT rate.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Guangzhou Youxin was approved as an HNTE (High and New Technology Enterprise) on December 20, 2021, Guangzhou Youxin was entitled to a reduced income tax rate of 15% from 2021 to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Guangzhou Youxin failed to obtain the renewed HNTE certificate in 2024, Guangzhou Youxin will no longer be recognized as HNTE after December 20, 2024 and thus it is subject to the income tax rate of 25% from 2024.</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the requisite licenses and approvals required under the complex regulatory environment applicable to our PaaS cloud services business in China, or if we are required to take compliance actions that are time-consuming or costly, our business, financial condition and results of operations related to our PaaS cloud service and SaaS standard product may be materially and adversely affected.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10, 2021, Guangzhou Youxin obtained “Information Security Management System Certification”, which proves that the company’s information security management system has passed the evaluation of NOA Certification and complies with GB/T 22080-2016/ISO/IEC 27001:2013 standard, and the scope of certification is “information security management activities related to the development and maintenance of computer software”.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2021, the Guangzhou Municipal Public Security Bureau issued the “Information System Security Level Protection Record Certificate” (No. 4401061303900001) to us, which was filed for the third level of Youxin Cloud System of Youxin Technology. This certification is made by the Public Security Authority that recognizes and assesses the information system security level protection status of each institution, in accordance with the national information security protection regulations and relevant systems, and the management norms and technical standards. What Guangzhou Youxin obtained is referred to as “Level 3 Equal protection”, which is the highest level of information protection certification for non-banking organizations in China. The Guangzhou Municipal Public Security Bureau conducts on-site inspection of Guangzhou Youxin annually. Guangzhou Youxin passed the annual inspection in May 2024. If Guangzhou Youxin fails the inspection, it will not affect its regular operations; However, it may affect the customer’s confidence in the information security of Youxin Cloud.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Considerable uncertainties exist regarding the interpretation and implementation of existing and future laws and regulations governing our business activities. We cannot assure you that we will not be found in violation of any future laws and regulations or any of the laws and regulations currently in effect due to changes in the relevant authorities’ interpretation of these laws and regulations. If we fail to complete, obtain or maintain any of the required licenses or approvals or make the necessary filings, we may be subject to various penalties, such as confiscation of the revenue that were generated through the unlicensed internet activities, the imposition of fines and the discontinuation or restriction of our operations. Any such penalties may disrupt our business operations and materially and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a PRC resident enterprise for PRC Enterprise Income Tax (“EIT”) purposes under the EIT Law and be subject to PRC taxation on our global income.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EIT Law, which came into effect on January 1, 2008 and was most recently amended on December 29, 2018, an enterprise established outside of China whose “de facto management body” is located in China is considered a “PRC resident enterprise” and will generally be subject to the uniform enterprise income tax rate, or EIT rate, of 25% on our global income. The regulation on the Implementation of the Enterprise Income Tax Law of the PRC defines “de facto management body” as the organization body that effectively exercises management and control over aspects such as the business operations, personnel, accounting and properties of the enterprise.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jc w:val="both"/>
        <w:spacing w:after="0" w:line="252" w:lineRule="auto"/>
        <w:rPr>
          <w:sz w:val="20"/>
          <w:szCs w:val="20"/>
          <w:color w:val="auto"/>
        </w:rPr>
      </w:pPr>
      <w:r>
        <w:rPr>
          <w:rFonts w:ascii="Times New Roman" w:cs="Times New Roman" w:eastAsia="Times New Roman" w:hAnsi="Times New Roman"/>
          <w:sz w:val="18"/>
          <w:szCs w:val="18"/>
          <w:color w:val="auto"/>
        </w:rPr>
        <w:t>On April 22, 2009, the State Taxation Administration (“STA” and previously known as the State Administration on Taxation or “SAT”) released the Notice Regarding the Determination of Chinese Controlled Offshore Incorporated Enterprises as PRC Tax Resident Enterprises on the Basis of De Facto Management Bodies (“Circular 82”), as lastly amended on December 29, 2017, which sets out the standards and procedures for determining whether the “de facto management body” of an enterprise registered outside of China and controlled by PRC enterprises or PRC enterprise groups is located within China. Under Circular 82, a foreign enterprise controlled by a PRC enterprise or PRC enterprise group is considered a PRC resident enterprise if all of the following apply: (i) the senior management and core management departments in charge of daily operations are located mainly within China; (ii) financial and human resources decisions are subject to determination or approval by persons or bodies in China; (iii) major assets, accounting books, company seals and minutes and files of board and shareholders’ meetings are located or kept within China; and (iv) at least half of the enterprise’s directors with voting rights or senior management reside within China. Further to Circular 82, the SAT issued Chinese-Controlled Offshore Incorporated Resident Enterprises Income Tax Regulation (“Bulletin 45”), which took effect on September 1, 2011 and lastly amended on June 15, 2018, to provide more guidance on the implementation of Circular 82 and clarify the reporting and filing obligations of such “Chinese-controlled offshore incorporated resident enterprises.” Bulletin 45 provides procedures and administrative details for the determination of resident status and administration of post-determination matters. Although Circular 82 and Bulletin 45 explicitly provide that the above standards apply to enterprises which are registered outside of China and controlled by PRC enterprises or PRC enterprise groups, Circular 82 may reflect SAT’s criteria for determining the tax residence of foreign enterprises in general. If our global income were to be taxed under the EIT Law, our financial condition and results of operations may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sale or other disposition of our shares under PRC law.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EIT Law, subject to any applicable tax treaty or similar arrangement between China and your jurisdiction of residence that provides for a different income tax arrangement, PRC withholding tax at the rate of 10% is normally applicable to dividends from sources within China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 PRC income tax if such gain is regarded as income derived from sources within China unless a treaty or similar arrangement otherwise provides. Under the PRC Individual Income Tax Law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substantially all of our business operations are in China, it is unclear whether dividends we pay with respect to our shares, or the gain realized from the transfer of our shares, would be treated as income derived from sources within China and as a result be subject to PRC income tax if we are considered a PRC resident enterprise. If PRC income tax is imposed on gains realized from the transfer of our Shares or on dividends paid to our non-PRC resident investors, the value of our investors’ investment in our Shares may be materially and adversely affected. Furthermore, our shareholders whose jurisdictions of residence have tax treaties or arrangements with China may not qualify for benefits under such tax treaties or arrangements.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heightened scrutiny over acquisition transactions by the PRC tax authorities may have a negative impact on our business operations, our acquisition or restructuring strategy or the value of your investment in 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Notice on Strengthening Administration of Enterprise Income Tax for Share Transfers by Non-PRC Resident Enterprises (“SAT Circular 698”) issued by the SAT in December 2009 with retroactive effect from January 1, 2008, where a nonresident enterprise transfers the equity interests of a PRC resident enterprise indirectly by disposition of the equity interests of an overseas non-public holding company (an “Indirect Transfer”), and such overseas holding company is located in a tax jurisdiction that (i) has an effective tax rate of less than 12.5% or (ii) does not impose income tax on foreign income of its residents, the non-resident enterprise, being the transferor, must report to the competent tax authority of the PRC resident enterprise this Indirect Transfer. Using a “substance over form” principle, the PRC tax authority may disregard the existence of the overseas holding company if it lacks a reasonable commercial purpose and was established for the purpose of reducing, avoiding or deferring PRC tax.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2011, the SAT released the SAT Public Notice (2011) No. 24 (“SAT Public Notice 24”), which became effective on April 1, 2011, to clarify several issues related to Circular 698. According to SAT Public Notice 24, the term “effective tax” refers to the effective tax on the gain derived from disposition of the equity interests of an overseas holding company; and the term “does not impose income tax” refers to the cases where the gain derived from disposition of the equity interests of an overseas holding company is not subject to income tax in the jurisdiction where the overseas holding company is a resident.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2015, the SAT issued (“SAT Circular 7”), which abolished certain provisions in SAT Circular 698, as well as certain other rules providing clarification on SAT Circular 698. SAT Circular 7 provided comprehensive guidelines relating to, and also heightened the PRC tax authorities’ scrutiny over, indirect transfers by a nonresident enterprise of PRC taxable assets. Under SAT Circular 7, the PRC tax authorities are entitled to reclassify the nature of an indirect transfer of PRC taxable assets, when a non-resident enterprise transfers PRC taxable assets indirectly by disposing of equity interests in an overseas holding company directly or indirectly holding such PRC taxable assets, by disregarding the existence of such overseas holding company and considering the transaction to be a direct transfer of PRC enterprise income taxes and without any other reasonable commercial purpose. However, SAT Circular 7 contains certain exemptions, including (i) where a non-resident enterprise derives income from the indirect transfer of PRC taxable assets by acquiring and selling shares of an overseas listed holding company which holds such PRC taxable assets on a public market; and (ii) where there is an indirect transfer of PRC taxable assets, but if the non-resident enterprise had directly held and disposed of such PRC taxable assets, the income from the transfer would have been exempted from enterprise income tax in the PRC under an applicable tax treaty or arrangement.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17, 2017, the STA promulgated the Announcement on Matters Concerning Withholding and Payment of Income Tax of Non-resident Enterprises from Source (the “STA Circular 37”), which came into force and replaced the STA Circular 698 and certain other regulations on December 1, 2017 and partly amended on June 15, 2018. The STA Circular 37 does, among other things, simplify procedures of withholding and payment of income tax levied on non-resident enterprises.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conducted and may conduct acquisitions involving changes in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obtain and maintain permits and licenses to operate certain of our business operations under PRC law.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Telecommunications operators in China are subject to regulation by, and under the supervision of, the MIIT, the primary regulator of the telecommunications industry in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Telecommunications Regulations, that apply in the interim period prior to the adoption of the telecommunications law.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Catalog of Telecommunications Business of the PRC, or the Catalog, most recently amended in June 2019, providers of internet data center (IDC) services, including “internet-based resource collaboration” (IRC) services, are required to obtain an IDC license. IRC services are defined quite broadly under the Catalog to include the provision “in a shared, collaborative manner” of “data storage, application deployment and other internet-based services that are readily accessible and easily modifiable on an on-demand basis.” Under the current PRC laws and regulations, we believe that Guangzhou Youxin may not be deemed as the provider of IDC services and is not required to obtain an IDC license. We cannot guarantee, however, the additional changes or restrict won’t be imposed by the government for Guangzhou Youxin.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internet industry and related businesses in China are evolving and may involve significant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the foreign ownership of, and the licensing and permit requirements pertaining to companies in the internet industry. These internet-related laws and regulations are relatively new and evolving, and their interpretation and enforcement involve significant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Risks and uncertainties relating to PRC regulation of internet businesses include new laws, regulations or policies that may be promulgated or announced to regulate internet activities, including PaaS cloud service businesses. If these new laws, regulations or policies are promulgated, additional licenses may be required for our operations. If our operations do not comply with these new regulations after they become effective, or if we fail to obtain any licenses required under these new laws and regulations, we could be subject to penalties and our business operations could be disrupted.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uncertainties relating to the regulation of the internet industry in China, including evolving licensing requirements. This means that our permits licenses or operations may be subject to challenge, or we may fail to obtain or renew permits or licenses that applicable regulators may deem necessary for our operations. If we fail to maintain or obtain the required permits or licenses, we may be subject to various penalties, including fines and discontinuation of, or restriction on our operations. Any penalty may disrupt our business operations and may have a material adverse effect on our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interpretation and application of existing or future PRC laws, regulations and policies relating to the internet industry have created substantial uncertainties regarding the legality of existing and future foreign investments in and the businesses and activities of internet businesses in China, including our PaaS cloud business. We cannot assure you that we will be able to maintain our existing licenses or obtain any new licenses required under any existing or new laws or regulations given the uncertainty and complexity of China’s regulation of internet businesses. There are also risks that we may be found to be in violation of existing or future laws and regulations. If current or future laws, rules or regulations regarding internet-related activities are interpreted in such a way as to render our ownership structure and/or business operations illegal or non-compliant, our business could be severely impaired and we could be subject to severe penalties.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rely on dividends paid by WFOE for our cash needs, any limitation on the ability of WFOE to pay dividends to us could have a material adverse effect on our ability to conduct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conduct all of our business through Guangzhou Youxin, but we may conduct business in Mainland China through WFOE in the future. Although we do not currently intend to pay dividends, we may rely on the dividends received from WFOE to pay dividends to our shareholders in the future. Currently, PRC regulations permit the payment of dividends only out of distributable profits determined in accordance with the accounting standards and regulations in China, which differ in many aspects from generally accepted accounting principles in other jurisdictions. WFOE is required to allocate certain percentages of any accumulated profits after tax each year to their statutory common reserve fund as required under the PRC Company Law, until the aggregate accumulated statutory common reserve funds exceed 50% of our registered capital. These reserve funds cannot be distributed as cash dividends. In addition, if WFOE incurs debt on its own or enters into certain agreements in the future, the instruments governing the debt or such other agreements may restrict our ability to pay dividends or make other distributions to us. Therefore, these restrictions on the availability and usage of our major source of funding may materially and adversely affect our ability to pay dividends to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government’s control over currency conversion may limit our foreign exchange transactions, including dividend payments on our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RMB is not presently a freely convertible currency, and current conversion and remittance of foreign currencies are subject to PRC foreign exchange regulations. There is no assurance that, under a certain exchange rate, we will have sufficient foreign currencies to meet our foreign exchange requirements. Under the current PRC foreign exchange control system, foreign exchange transactions under the current account conducted by us, including the payment of dividends following completion of the public offering, do not require prior approval from the SAFE, but we are required to present documentary evidence of such transactions and conduct such transactions at designated foreign exchange banks within China that have the requisite licenses to carry out foreign exchange business. Foreign exchange transactions under the capital account conducted by us, however, must be approved or subject to registration in advance by the SAFE, its branches, or competent banks. There is no assurance that we will be able to receive these approvals or complete the registration in time, or at all. This could restrict the ability of our PRC subsidiary to obtain debt or equity financing in foreign currencies.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The existing foreign regulations allow WFOE, following completion of this offering, to pay dividends in foreign currencies without prior approval from the SAFE by complying with certain procedural requirements. However, there is no assurance that the PRC Government will continue to adopt this policy going forward. The PRC government may also restrict our access to foreign currencies for current account transactions at our discretion. Any insufficiency of foreign currencies may impair WFOE’s ability to obtain sufficient foreign currencies for dividend payments to us or to satisfy any other foreign exchange requirements.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laws and regulations establish more complex procedures for some acquisitions of PRC companies by foreign investors, which could make it difficult for us to pursue growth through acquisitions in China.</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number of PRC laws and regulations, including the M&amp;A Rules, the Anti-Monopoly Law, and the Rules of Ministry of Commerce on Implementation of Security Review System of Mergers and Acquisitions of Domestic Enterprises by Foreign Investors promulgated by MOFCOM on August 25, 2011 and effective from September 1, 2011 (“Security Review Rules”), have established procedures and requirements that are expected to make the review of certain merger and acquisition activities by foreign investors in China more time consuming and complex. These include requirements in some instances to notify MOFCOM in advance of any transaction in which foreign investors take control of a PRC domestic enterprise, or to obtain approval from MOFCOM before overseas companies established or controlled by PRC enterprises or residents acquire affiliated domestic companies. PRC laws and regulations also require certain merger and acquisition transactions to be subject to merger control or security review.</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future audit reports will be prepared by auditors able to be inspected or investigated completely by the PCAOB, and if they are not, our ordinary shares may be prohibited from being traded on a national exchange under the HFCA Act. The delisting of our ordinary shares, or the threat of being delisted, may materially and adversely affect the value of your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Auditors of companies that are registered with the Securities and Exchange Commission (the “SEC”) and traded publicly in the United States, including our independent registered public accounting firm, must be registered with the PCAOB, and are subject to laws in the United States pursuant to which the PCAOB conducts regular inspections to assess their compliance with the relevant professional standards.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Holding Foreign Companies Accountable Act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over-the-counter trading market in the U.S. On December 2, 2020, the U.S. House of Representatives approved the Holding Foreign Companies Accountable Act. On December 18, 2020, the Holding Foreign Companies Accountable Act was signed into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(“AHFCAA”), and the U.S. House of Representatives introduced the AHFCAA on December 14, 2021 and referred to the House Committee on Financial Services. The AHFCAA was enacted on December 29, 2022 and reduced the number of consecutive non-inspection years required for triggering the prohibitions under the HFCA Act from three years to two and, thus, would reduce the time before our securities may be prohibited from trading or delisted.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Holding Foreign Companies Accountable Act.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2022, the SEC announced that the PCAOB signed a Statement of Protocol with the CRSC and the Ministry of Finance of the PRC, which sets out specific arrangements on conducting inspections and investigations by both sides over relevant audit firms within the jurisdiction of both sides, including the audit firms based in Mainland China and Hong Kong. This agreement marks an important step towards resolving the audit oversight issue that concern mutual interests, and sets forth arrangements for both sides to cooperate in conducting inspections and investigations of relevant audit firms, and specifies the purpose, scope and approach of cooperation, as well as the use of information and protection of specific types of data.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15, 2022, the PCAOB announced that it has secured complete access to inspect and investigate registered public accounting firms headquartered in mainland China and Hong Kong and voted to vacate the previous 2021 determination report to the contrary. Notwithstanding the foregoing, in the future, if there is any regulatory change or step taken by PRC regulators that does not permit our auditor to provide audit documentations located in China to the PCAOB for inspection or investigation, investors may be deprived of the benefits of such inspection. Any audit reports not issued by auditors that are completely inspected by the PCAOB, or a lack of PCAOB inspections of audit work undertaken in mainland China that prevents the PCAOB from regularly evaluating our auditors’ audits and their quality control procedures, could result in a lack of assurance that our financial statements and disclosures are adequate and accurate, then such lack of inspection could cause our ordinary shares to be delisted from the stock exchange. On December 29, 2022, the Consolidated Appropriations Act was signed into law. The Consolidated Appropriations Act contains, among other things, an identical provision to AHFCAA, which reduces the number of consecutive non-inspection years required for triggering the prohibitions under the HFCA Act from three years to two.</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auditor is currently subject to PCAOB inspections and the PCAOB is able to inspect our auditor. Our auditor, Marcum Asia CPAs LLP (“Marcum Asia”), is headquartered in New York City, New York, and has been inspected by the PCAOB on a regular basis. Our auditor is not headquartered in Mainland China or Hong Kong. Marcum Asia was not subject to the determinations announced by the PCAOB on December 16, 2021. Notwithstanding the foregoing, in the future, if there is any regulatory change or step taken by PRC regulators that does not permit Marcum Asia to provide audit documentation located in Mainland China or Hong Kong to the PCAOB for inspection or investigation, you may be deprived of the benefits of such inspection which could result in limitation or restriction to our access to the U.S. capital markets and trading of our securities, including trading on a national securities exchange and quotations by “over-the-counter” markets, may be prohibited under the HFCA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8"/>
          <w:szCs w:val="18"/>
          <w:color w:val="auto"/>
        </w:rPr>
        <w:t>However, the recent developments would add uncertainties to our offering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It remains unclear what further actions the SEC, the PCAOB or Nasdaq will take to address these issues and what impact those actions will have on U.S. companies that have significant operations in the PRC and have securities listed on a U.S. stock exchange (including a national security exchange or over-the-counter stock market). In addition, any additional actions, proceedings, or new rules resulting from these efforts to increase U.S. regulatory access to audit information could create some uncertainty for investors, the market price of our ordinary shares could be adversely affected, and we could be delisted if we and our auditor are unable to meet the PCAOB inspection requirement or being required to engage a new audit firm, which would require significant expense and management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trade disputes, barriers to trade, or the emergence of a trade war may influence our growth in China.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trade disputes, and other business interruptions could harm or disrupt international commerce and the global economy, and could have a material adverse effect on us and our customers and other partners. International trade disputes could result in tariffs and other protectionist measures which may materially and adversely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and other countries, including the surrounding Asian countries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policies and the expected or perceived overall economic growth rate in China.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Uncertainty surrounding international trade disputes and the potential of the escalation of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irrevocable voting structure centralizes control in a Trust Committee, which may limit shareholder influence and entrench control, potentially misaligning governance with investor interests.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an irrevocable voting trust, the Youxin BM Trust, through which shareholders Anxin Youxin Capital Ltd, Hope Youxin Capital Ltd, FWZ Youxin Capital Ltd, Youxin XHB Capital Ltd, and Youxin HW Capital Ltd have transferred an aggregate of 77,562 Class A Shares and 8,945,307 Class B Shares to, which serves as a bare trustee under the voting trust agreement, is required to vote and dispose of the shares solely in accordance with the instructions of the Trust Committee. The current Trust Committee consists of five members, with Mr. Sun Jinhou serving as Chairman. Mr. Sun holds the exclusive authority to nominate or replace the other members of the Committee.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the Voting Trust has effective control over a substantial portion of the Company’s voting power. This control is expected to persist indefinitely, as the trust is irrevocable and not subject to automatic termination. The concentration of voting power in the Trust Committee, and particularly in Mr. Sun, could significantly limit the ability of other shareholders to influence corporate matters, including the election of directors, mergers and acquisitions, or amendments to key governance documents.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structure may result in decisions that favor the interests of the Trust Committee or affiliated parties over those of public shareholders. It may also discourage potential investors or acquirers from engaging with the Company, reduce the Company’s responsiveness to shareholder concerns, and ultimately undermine public investor confidence in the Company’s corporate governance practices.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additional costs as a result of becoming a public company, which could negatively impact our net income and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In addition, the Sarbanes-Oxley Act and rules and regulations implemented by the SEC and The Nasdaq Capital Market require significantly heightened corporate governance practices for public companies. We expect that these rules and regulations will increase our legal, accounting and financial compliance costs and will make many corporate activities more time-consuming and costly.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expect to incur materially greater costs as a result of becoming a public company than those incurred by similarly sized foreign private issuers. If we fail to comply with these rules and regulations, we could become the subject of governmental enforcement action, investors may lose confidence in us and the market price of our ordinary shares could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 to disclose information publicly may put us at a disadvantage to competitors that are private companies.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publicly listed company, we are required to file periodic reports with the SEC upon the occurrence of matters that are material to our company and shareholders.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U.S.-listed public company, we are governed by U.S. laws that our non-publicly traded competitors are not required to follow. To the extent compliance with U.S. laws increases our expenses or decreases our competitiveness against such companies, our public listing could affect our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rely on exemptions from certain Nasdaq corporate governance standards applicable to U.S. issuers, including the requirement that a majority of an issuer’s directors consist of independent directors. If we opt to rely on such exemptions in the future, such decision might afford less protection to holders of our ordinary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5605(b)(1) of the Nasdaq Listing Rules requires listed companies to have, among other things, a majority of its board members to be independent, and Section 5605(d) and 5605(e) require listed companies to have independent director oversight of executive compensation and nomination of directors. As a foreign private issuer, however, we are permitted to follow home country practice in lieu of the above requirements. Our Board of Directors could make such a decision to depart from such requirements by ordinary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corporate governance practice in our home country, the Cayman Islands, does not require a majority of our Board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the management of our company might decrease as a result. In addition,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under the rules of The Nasdaq Capital Market, we may choose to exempt our company from certain corporate governance requirements that could have an adverse effect on our public Class A shareholders.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Youxin Technology Ltd, as settlor, created a voting trust known as the Youxin BM Trust (the “Voting Trust”) with Kastle Limited as the Trustee (the “Trustee”). Anxin Youxin Capital Ltd, Hope Youxin Capital Ltd, FWZ Youxin Capital Ltd, Youxin XHB Capital Ltd, and Youxin HW Capital Ltd (the “Beneficiaries”), the Beneficiaries of the Voting Trust and their respective principals, Shaozhang Lin, Jinhou Sun, Weizhao Feng, and Yanling Xu transferred ownership of 8,945,307 Class B Shares, which have 20 votes per share; and 6,204,895 Class A Shares to the Voting Trust. The investment and voting decisions of the Voting Trustee are made by the Trustee at the direction of the Trust Committee. Jinhou Sun was appointed the Chairman of the Trust Committee by the Beneficiaries and Principals. The Chairman has the exclusive right to appoint the other members of the Committee and remove any members so appointed. We meet the definition of a “controlled company” under the corporate governance standards for Nasdaq listed companies. As such, we are eligible to utilize certain exemptions from the corporate governance requirements of The Nasdaq Stock Market. We are a “controlled company” within the meaning of Nasdaq Listing Rule 5615(c). As a controlled company, we qualify for, and our Board of Directors, the composition of which is and will be controlled by this shareholder, may rely upon exemptions from several of Nasdaq’s corporate governance requirements, including requirements that:</w:t>
      </w:r>
    </w:p>
    <w:p>
      <w:pPr>
        <w:spacing w:after="0" w:line="17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and corporate governance committee that is composed entirely of independent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long as our officers and directors, either individually or in the aggregate, own at least 50% of the voting power of our company, we are a “controlled company” as defined under Nasdaq Marketplace Rules.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to the extent that we may choose to rely on one or more of these exemptions, our shareholders would not be afforded the same protections generally as shareholders of other Nasdaq-listed companies for so long as these shareholders are collectively able to control the composition of our Board and our Board determines to rely upon one or more of such exemptions.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of our Class A Shares will be unable to elect any directors of our company or participate in our corporate governance.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Risks Related to Our Offering and Ownership of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dual-class ordinary shares structure may negatively impact the market price of its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whether the dual-class ordinary shares structure of our company, combined with the concentrated voting power of a voting trust known as the Youxin BM Trust, with Kastle Limited as the Trustee, owning at least 50% of the voting power of our Company. Additionally, our founding shareholder and Chief Executive Officer, Mr. Shaozhang Lin, beneficially owned 57.03% of our total voting power through his beneficial ownership of 3,942,945 Class A Shares and 5,605,727 Class B Shares; and all of which had been transferred to Youxin BM Trust, will result in a lower or more volatile market price of our company’s Class A Shares, or other adverse consequences.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certain stock index providers, such as S&amp;P Dow Jones, exclude companies with multiple classes capital structure from being included in certain stock indices, including the S&amp;P 500, the S&amp;P MidCap 400 and the S&amp;P SmallCap 600. In addition, several shareholder advisory firms and large institutional investors oppose the use of multiple class structures. As a result, the dual class structure of the ordinary shares of our company may prevent the inclusion of our company’s Class A Shares in such indices, may cause shareholder advisory firms to publish negative commentary about our company’s corporate governance practices or otherwise seek to cause our company to change its capital structure, and may result in large institutional investors not purchasing our Class A Shares. Any exclusion from stock indices could result in a less active trading market for our Class A Shares. Any actions or publications by shareholder advisory firms or institutional investors critical of our company’s corporate governance practices or capital structure could also adversely affect the value of our Class A Shares.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Class A Shares are entitled to 1 vote per share and the holders of the Class B Shares are entitled to 20 votes per share. Each Class B Share is convertible into one Class A Share under certain circumstances. The difference in the voting rights between Class A Shares and Class B Shares could also harm the value of our Class A Shares to the extent that any investor or potential future purchaser of our company’s Class A Shares ascribes value to the right of holders of its Class B Shares to twenty votes per share of Class B Shares, or could potentially result in the Class B Shares receiving higher consideration in a sale of such company than that paid to holders of our Class A Shares. The existence of two classes of ordinary shares could also result in less liquidity for our Class B Shares than if there were only one class of ordinary shares. See “Description of Share Capital” for more information on our securities.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whether the reduced reporting requirements applicable to emerging growth companies will make our ordinary shares less attractive to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exemptions from the requirements of holding a nonbinding advisory vote on executive compensation and shareholder approval of any golden parachute payments not previously approved. We could be an emerging growth company for up to five years, although we could lose that status sooner if our revenues reach $1.235 billion, if we issue $1.0 billion or more in non-convertible debt in a three year period, or if the market value of our ordinary shares held by non-affiliates exceeds $700 million as of any December 31 before that time, in which case we would no longer be an emerging growth company as of the following June 30.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Under the JOBS Act, emerging growth companies can also delay adopting new or revised accounting standards until such time as those standards apply to private companies.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use the extended transition period for complying with new or revised accounting standards under Section 107(b)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Consequently, our financial statements may not be comparable to companies that comply with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ordinary shares. We cannot predict if investors will find our ordinary shares less attractive because we plan to rely on this exemption. If some investors find our ordinary shares less attractive as a result, there may be a less active trading market for our ordinary shares and our share price may be more volatile.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ordinary shares may decline.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preparation of our consolidated financial statements as of and for the year ended September 30, 2024, we identified material weaknesses in our internal control over financial reporting, as defined in the standards established by the PCAOB and other control deficiencies. The material weaknesses that have been identified relate to (i) lack of sufficient and competent financial reporting and accounting personnel with appropriate knowledge of U.S. GAAP and reporting requirements set forth by the SEC to address complex U.S. GAAP technical accounting issues, and to prepare and review consolidated financial statements and related disclosures in accordance with U.S.GAAP and SEC reporting requirements; (ii) lack of formal internal control policies and internal independent supervision functions to establish formal risk assessment process and internal control framework; and (iii) lack of sufficient controls designed and implemented in IT environment and IT general control activities, which are mainly associated with areas of logical access management, change management as well as cyber security management.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identification of the material weaknesses and control deficiencies, we have taken and planned to continue to take remedial measures, including hiring Serious Financial Management &amp; Consulting (Shenzhen) Co. Ltd as our consultant which has the requisite training and experience in the preparation of financial statements in compliance with applicable SEC requirements, and implementing regular and continuous U.S. GAAP accounting and financial reporting training programs for our accounting and financial reporting personnel. In order to maintain and improve the effectiveness of our disclosure controls and procedures and internal controls over financial reporting, we will need to expend significant resources and provide significant management oversight. We plan to adopt measures to improve our internal file management procedures and an effective recognition procedure by (i) hiring additional finance and accounting staff with qualifications and work experiences in IFRS and SEC reporting requirements to formalize and strengthen key internal controls over financial reporting; (ii) design and formalizing internal control policies, ensuring clear segregation of duties, and implement a structured risk assessment process. Developing a comprehensive internal control framework that includes regular monitoring, clear accountability, and periodic reviews to enhance transparency and mitigate potential risks; and (iii) regularly conducting checks on the IT software we utilize to ensure its proper functionality, and arranging training sessions for our IT staff.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Moreover, ineffective internal control over financial reporting significantly hinders our ability to prevent fraud.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In addition, beginning with annual report on Form 20-F for the year ending September 30, 2025, we are required to furnish a report by management on the effectiveness of our internal control over financial reporting pursuant to Section 404 of the Sarbanes-Oxley Act. We are in the process of designing, implementing, and testing the internal control over financial reporting required to comply with this obligation, which process is time consuming, costly, and complicated.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independent registered public accounting firm are required to attest to the effectiveness of our internal control over financial reporting beginning with our annual report on Form 20-F following the date on which we are no longer an “emerging growth company,” which may be up to five full years following the date of this offering.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and the market price of our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lacks experience in managing a U.S. public company and complying with laws applicable to such company, the failure of which may adversely affect our business, financial conditions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management team lacks experience in managing a U.S. publicly traded company, interacting with public company investors and complying with the increasingly complex laws pertaining to U.S. public companies. Prior to the completion of this offering, we mainly operate our businesses as a private company in the PRC. As a result of this offering, our company is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the Sarbanes-Oxley Act, the Dodd-Frank Act, the listing requirements of the securities exchange on which we list, and other applicable securities rules and regulations. Despite recent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and current reports with respect to our business and operating results. In addition, as long as we are listed on The Nasdaq Capital Market, we are also required to file semi-annual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accounting and financial compliance costs and to make certain corporate activities more time-consuming and costly. In addition, we will incur additional costs associated with our public company reporting requirements. While it is impossible to determine the amounts of such expenses in advance, we expect that we will incur expenses of between $500,000 and $1 million per year that we did not experience prior to commencement of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prospectus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expect that being a public company and these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or may decline regardless of our operating performance, and you may not be able to resell your shares at or above the public offering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offering price for our ordinary shares will be determined through negotiations between the underwriters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spacing w:after="0" w:line="18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public offering and may not use them effectively.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this offering prices above the assumed price per Class A Share or if we increase the aggregate offering size with an immediately effective post-effective amendment, we could raise more funds than currently assumed. To the extent (i) we raise more money than required for the purposes explained in the section titled “Use of Proceeds” or (ii) we determine that the proposed uses set forth in that section are no longer in the best interests of our company, we cannot specify with any certainty the particular uses of such net proceeds that we will receive from our public offering. However, we will advise shareholders as required in our annual reports on Form 20-F of any changes in application of funds and will file a current report on Form 6-K to the extent we determine such changes in application must be disclosed more quickly.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such net proceeds, including working capital, possible acquisitions, and other general corporate purposes, and we may not spend or invest these proceeds in a way with which our shareholders agree. The failure by our management to apply these funds effectively could harm our business and financial condition. Pending their use, we may invest the net proceeds from our public offering in a manner that does not produce income or that loses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liability risks stemming from our foreign status, which could make it more difficult for investors to sue or enforce judgments against our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Cayman Islands companies may not have standing to initiate a shareholder derivative action in a federal court of the United States. The circumstances in which any such action may be brought, and the procedures and defenses that may be available in respect to any such action,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against us judgments of courts in the United States based on certain liability provisions of U.S. securities law; and to impose liabilities against us, in original actions brought in the Cayman Islands, based on certain liability provisions of U.S. securities laws that are penal in nature. There is no statutory recognition in the Cayman Islands of judgments obtained in the United States, although the courts of the Cayman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Fifth Amended and Restated Memorandum and Articles of Association. Shareholders are entitled to have the affairs of the company conducted in accordance with the general law and the Fifth Amended and Restated Memorandum and Articles of Association.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There are common law rights for the protection of shareholders that may be invoked, largely dependent on English company law since the common law of the Cayman Islands for business companies is limited. Under the general rule pursuant to English company law known as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corporation.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decline to register transfers of ordinary shares in certain circumstances.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refuse to register the transfer of our company’s ordinary shares to any person. They may do so in their absolute discretion, without giving any reason for their refusal, and irrespective of whether the share is fully paid or our company has no lien over 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 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calendar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general meetings or extraordinary general meetings not called by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10% of our voting share capital in issue, to requisition an extraordinary general meeting of our shareholders, in which case our directors are obliged to call such meeting and to put the resolutions so requisitioned to a vote at such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Association do not provide our shareholders with any right to put any proposals before annual general meetings or extraordinary general meetings not called by such shareholders. Advance notice of at least five (5) clear days is required for the convening of our annual general shareholders’ meeting and any other general meeting of our shareholders. A quorum required for a meeting of shareholders consists of at least one or more shareholders present in person or by proxy, representing not less than one-third of the outstanding shares carrying the right to vote at such general meeting. In the event we do not have quorum within 15 minutes of the time appointed for the meeting, or if at any time during the meeting it becomes inquorate, then: (a) if the meeting was requisitioned by the shareholders, it shall be cancelled; (b) in any other case, the meeting shall stand adjourned to the same time and place seven days hence, or to such other time or place as is determined by the directors. If a quorum is not present within 15 minutes of the time appointed for the adjourned meeting, then the shareholders present in person or by proxy shall constitute a quorum.</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noted in the risk factor titled </w:t>
      </w:r>
      <w:r>
        <w:rPr>
          <w:rFonts w:ascii="Times New Roman" w:cs="Times New Roman" w:eastAsia="Times New Roman" w:hAnsi="Times New Roman"/>
          <w:sz w:val="18"/>
          <w:szCs w:val="18"/>
          <w:i w:val="1"/>
          <w:iCs w:val="1"/>
          <w:color w:val="auto"/>
        </w:rPr>
        <w:t>“We are a “foreign private issuer,” and our disclosure obligations differ from those of U.S. domestic reporting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 result, we may not provide you the same information as U.S. domestic reporting companies or we may provide information at different times, which may make it more difficult for you to evaluate our performance and prospects.”</w:t>
      </w:r>
      <w:r>
        <w:rPr>
          <w:rFonts w:ascii="Times New Roman" w:cs="Times New Roman" w:eastAsia="Times New Roman" w:hAnsi="Times New Roman"/>
          <w:sz w:val="18"/>
          <w:szCs w:val="18"/>
          <w:color w:val="auto"/>
        </w:rPr>
        <w:t>, The Nasdaq Capital Market allows foreign private issuers like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opt to follow rules that apply in the issuer’s home country instead of a given Nasdaq rule. NASDAQ Listing Rule 5615(a)(3) permits a foreign private issuer like us to follow home country practices in lieu of certain requirements of Listing Rule 5600, provided that such foreign private issuer discloses in its annual report filed with the SEC each requirement of Rule 5600 that it does not follow and describes the home country practice followed in lieu of such requirement. We have opted to follow home country practice regarding quorum requirements pursuant to NASDAQ Listing Rule 5615(a)(3).</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Fifth Amended and Restated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Second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Certain judgments obtained against us by our shareholders may not be enforceable.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substantially all of our assets are located outside of the United States. Substantially all of our current operations are conducted in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facts, forecasts and statistics contained in this prospectus are derived from a third-party report and publicly available official sources and they may not be reliable.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facts, forecasts and other statistics contained in this prospectus relating to China, the PRC economy and the industry in which we operate have been derived from various official government publications or other third-party reports. We have taken reasonable care in the reproduction or extraction of the official government publications or other third-party reports for the purpose of disclosure in this prospectus, however, we cannot guarantee the quality or reliability of such source materials. They have not been prepared or independently verified by us, the underwriters or any of their respective affiliates or advisers and, therefore, we make no representation as to the accuracy of such statistics, which may not be consistent with other information compiled within or outside the PRC. Due to possibly flawed or ineffective collection methods or discrepancies between published information and market practice, such statistics in this prospectus may be inaccurate or may not be comparable to statistics produced with respect to other economies. Further, there is no assurance that they are stated or compiled on the same basis or with the same degree of accuracy as the case may be in other jurisdictions. In all cases, investors should give consideration as to how much weight or importance they should attach to or place on such facts.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general economic conditions, and any severe or prolonged downturn in the global or PRC economy could materially and adversely affect our business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Economic conditions in China are sensitive to global economic conditions. Because our current revenue is derived largely from China, our business and prospects may be affected by economic conditions in China. The sale of our products is dependent upon the consumption of goods in the retail industry, which may in turn depend on the level of disposable income, perceived future earnings and willingness to spend. Due to uncertain global economic conditions, particularly the current trade tension between the U.S. and China, our clients may reduce the amount they spend on cloud services, like ours. In addition, financial turmoil, banking systems or currency exchange rates may significantly restrict our ability to obtain financing in the capital markets or from financial institutions on commercially reasonable terms, or at all, which could also materially and adversely affect our business, results of operations and prospects.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we intend to use the net proceeds of any offering of securities for working capital and other general corporate purposes, which may include the repayment or refinancing of outstanding indebtedness and the financing of future acquisitions. We may have significant discretion in the use of any net proceeds. The net proceeds may be invested temporarily in interest-bearing accounts and short-term interest-bearing securities until they are used for their stated purpose. We may provide additional information on the use of the net proceeds from the sale of the offered securities in an applicable prospectus supplement relating to the offered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anticipate that we will retain the earnings to support operations and to finance the growth and development of our business. Any future determination relating to our dividend policy will be made at the discretion of our Board of Directors and will depend on a number of factors, including future earnings, capital requirements, financial conditions and future prospects and other factors the Board of Directors may deem relevant.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out of either its profit or share premium account, but a dividend may not be paid if this would result in the company being unable to pay its debts as they fall due in the ordinary course of business. Dividends can be declared and paid out of funds lawfully available to us, which include the share premium account. According to our Articles of Association, except as otherwise provided by the rights attached to our ordinary shares, all dividends must be declared and paid according to the amounts paid up on the ordinary shares on which the dividend is paid. All dividends must be apportioned and paid proportionately to the amount paid up on the ordinary shares during the time or part of the time in respect of which the dividend is paid. However, if an ordinary share is issued on terms providing that it will rank for dividend as from a particular date, then that ordinary share will rank for dividend accordingly. For further information, see “Material Tax Consequences Applicable to U.S. Holders of Our Ordinary Shares — Cayman Islands Taxation.”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determine to pay dividends on any of our ordinary shares in the future, as a holding company, we will be dependent on receipt of funds from our operations in overseas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will be set forth in the applicable prospectus supplement or in a report on Form 6-K subsequently furnished to the SEC and specifically incorporated by reference into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management’s discussion and analysis of financial condition and results of operations for the years ended September 30, 2025, 2024 and 2023 please read “</w:t>
      </w:r>
      <w:r>
        <w:rPr>
          <w:rFonts w:ascii="Times New Roman" w:cs="Times New Roman" w:eastAsia="Times New Roman" w:hAnsi="Times New Roman"/>
          <w:sz w:val="18"/>
          <w:szCs w:val="18"/>
          <w:i w:val="1"/>
          <w:iCs w:val="1"/>
          <w:color w:val="auto"/>
        </w:rPr>
        <w:t>Item 5. Operating and Financial Review and Prospects</w:t>
      </w:r>
      <w:r>
        <w:rPr>
          <w:rFonts w:ascii="Times New Roman" w:cs="Times New Roman" w:eastAsia="Times New Roman" w:hAnsi="Times New Roman"/>
          <w:sz w:val="18"/>
          <w:szCs w:val="18"/>
          <w:color w:val="auto"/>
        </w:rPr>
        <w:t>” in our 2025 Annual Report, which is incorporated by reference into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description of our business, please read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in our 2025 Annual Report, which is incorporated by reference into this prospectus. There have been no material changes or developments to our business since the filing of our 2025 Annual Report, except as otherwise set forth in this prospectus.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have been no material changes or developments to our business since the filing of our Annual Report, except as otherwise set forth in this prospectus.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significant rules and regulations that affect our business or our shareholders’ rights to receive dividends and other distributions from us, please read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in our Form F-1 (Registration No. 333-274404), which is incorporated by reference into this prospectus. There have been no material changes or developments to our business since the filing of our 2025 Annual Report, except as otherwise set forth in this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description of our management, please read “</w:t>
      </w:r>
      <w:r>
        <w:rPr>
          <w:rFonts w:ascii="Times New Roman" w:cs="Times New Roman" w:eastAsia="Times New Roman" w:hAnsi="Times New Roman"/>
          <w:sz w:val="18"/>
          <w:szCs w:val="18"/>
          <w:i w:val="1"/>
          <w:iCs w:val="1"/>
          <w:color w:val="auto"/>
        </w:rPr>
        <w:t>Item 6. Directors, Senior Management and Employees</w:t>
      </w:r>
      <w:r>
        <w:rPr>
          <w:rFonts w:ascii="Times New Roman" w:cs="Times New Roman" w:eastAsia="Times New Roman" w:hAnsi="Times New Roman"/>
          <w:sz w:val="18"/>
          <w:szCs w:val="18"/>
          <w:color w:val="auto"/>
        </w:rPr>
        <w:t>” in our 2025 Annual Report, which is incorporated by reference into this prospectus. There have been no material changes or developments to our management since the filing of our 2025 Annual Report, except as otherwise set forth in this prospectus.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related party transaction during the year ended September 30, 2025, please read “</w:t>
      </w:r>
      <w:r>
        <w:rPr>
          <w:rFonts w:ascii="Times New Roman" w:cs="Times New Roman" w:eastAsia="Times New Roman" w:hAnsi="Times New Roman"/>
          <w:sz w:val="18"/>
          <w:szCs w:val="18"/>
          <w:i w:val="1"/>
          <w:iCs w:val="1"/>
          <w:color w:val="auto"/>
        </w:rPr>
        <w:t>Item 7. Major Shareholders And Related Party Transactions -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our 2025 Annual Report, which both are incorporated by reference into this prospectus.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the securities offered by this prospectus are set forth in “Item 10. Additional Information—E. Taxation” in the 2025 Annual Report, which is incorporated herein by reference, as updated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OTHER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duly registered with the Cayman Islands Registrar of Companies. Our affairs are governed by our Fifth Amended and Restated Memorandum and Articles of Association, the Companies Act (as revised) of the Cayman Islands, which is referred to as the Companies Act below, and the common law of the Cayman Islands. Our corporate purposes are unrestricted and we have the authority to carry out any object not prohibited by any law as provided by Section 7(4) of the Companies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relating to our Class A Shares and Class B Shares and certain provision of our amended and restated memorandum and articles of association is incorporated by reference from our Annual Report, under the caption “</w:t>
      </w:r>
      <w:r>
        <w:rPr>
          <w:rFonts w:ascii="Times New Roman" w:cs="Times New Roman" w:eastAsia="Times New Roman" w:hAnsi="Times New Roman"/>
          <w:sz w:val="18"/>
          <w:szCs w:val="18"/>
          <w:i w:val="1"/>
          <w:iCs w:val="1"/>
          <w:color w:val="auto"/>
        </w:rPr>
        <w:t>Item 10. Additional Information – 10.B. Articles of Association</w:t>
      </w:r>
      <w:r>
        <w:rPr>
          <w:rFonts w:ascii="Times New Roman" w:cs="Times New Roman" w:eastAsia="Times New Roman" w:hAnsi="Times New Roman"/>
          <w:sz w:val="18"/>
          <w:szCs w:val="18"/>
          <w:color w:val="auto"/>
        </w:rPr>
        <w:t>.” Such information does not purport to be complete and is qualified in its entirety by the provisions of our fifth amended and restated memorandum and articles of association and applicable provisions of the Companies Act (as revised) of the Cayman Islands and the common law of the Cayman Islands. You should read our amended and restated memorandum and articles of association, which are filed as Exhibit 3.2 of this registration statement for the provisions that are important to you.</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date of the prospectus, the authorized share capital of our company is US$1,640,000 divided into (i) 204,750,000 class A ordinary shares of US$0.008 par value each and (ii) 20,000,000 class B ordinary shares of US$0.0001 par value each. As of May 8, 2026, our company had 13,846,647 Class A Shares and 8,945,307 Class B Shares, issued and outstanding, respectively. For a description of our Class A and Class B Shares, including the rights and obligations thereto, please refer to our Annual Report, which is incorporated by reference herein.</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elsewhere in this prospectus for information on where you can obtain copies of our amended and restated memorandum and articles of association, which have been filed with and are publicly available from the SEC.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share purchase contracts, including contracts obligating holders to purchase from us, and obligating us to sell to the holders, a specified number of shares of Class A Shares or other securities registered hereunder at a future date or dates, which we refer to in this prospectus as “share purchase contracts.” The price per share of the securities and the number of shares of the securities may be fixed at the time the share purchase contracts are issued or may be determined by reference to a specific formula set forth in the share purchase contracts.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part of units consisting of a share purchase contract and warrants, other securities registered hereunder or debt obligations of third parties, including U.S. treasury securities, securing the holders’ obligations to purchase the securities under the share purchase contracts, which we refer to herein as “share purchase units.” The share purchase contracts may require holders to secure their obligations under the share purchase contracts in a specified manner. The share purchase contracts also may require us to make periodic payments to the holders of the share purchase units or vice versa, and those payments may be unsecured or refunded on some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purchase contracts, and, if applicable, collateral or depositary arrangements, relating to the share purchase contracts or share purchase units, will be filed with the SEC in connection with the offering of share purchase contracts or share purchase units. The prospectus supplement relating to a particular issue of share purchase contracts or share purchase units will describe the terms of those share purchase contracts or share purchase units, including the following:</w:t>
      </w:r>
    </w:p>
    <w:p>
      <w:pPr>
        <w:spacing w:after="0" w:line="18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tax considerations; and</w:t>
      </w:r>
    </w:p>
    <w:p>
      <w:pPr>
        <w:spacing w:after="0" w:line="225" w:lineRule="exact"/>
        <w:rPr>
          <w:rFonts w:ascii="Times New Roman" w:cs="Times New Roman" w:eastAsia="Times New Roman" w:hAnsi="Times New Roman"/>
          <w:sz w:val="18"/>
          <w:szCs w:val="18"/>
          <w:color w:val="auto"/>
        </w:rPr>
      </w:pPr>
    </w:p>
    <w:p>
      <w:pPr>
        <w:ind w:left="5540" w:right="2920" w:hanging="5208"/>
        <w:spacing w:after="0" w:line="532" w:lineRule="auto"/>
        <w:tabs>
          <w:tab w:leader="none" w:pos="6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share purchase contracts or the share purchase units.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under this prospectus, we will describe the particular terms of any series of warrants that we may offer in more detail in the applicable prospectus supplement. If we indicate in the prospectus supplement, the terms of any warrants offered under that prospectus supplement may differ from the terms described below. However, no prospectus supplement shall fundamentally change the terms that are set forth in this prospectus or offer a security that is not registered and described in this prospectus at the time of its effectiveness. Specific warrant agreements will contain additional important terms and provisions and will be incorporated by reference as an exhibit to the registration statement that includes this prospectus or as an exhibit to a report filed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that entitle the holder to purchase our Class A Shares, or any combination thereof. We may issue warrants independently or together with Class A Shares, or any combination thereof, and the warrants may be attached to or separate from such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 if not United States dollars;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Shares, preferred shares, or depositary shares, the number of Class A Shares, preferred shares or depositary shares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Class A Shares, preferred shares or depositary shares, the right to receive dividends, if any, or, payments upon our liquidation, dissolution or winding up or to exercise voting rights,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Warrant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 agreements may permit us and the warrant agent, if any, without the consent of the warrant holders, to supplement or amend the agreement in the following circumstances:</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provision which may be defective or inconsistent with any other provisions;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new provisions regarding matters or questions that we and the warrant agent may deem necessary or desirable and which do not adversely affect the interests of the warrant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rights to purchase Class A Shares, preferred shares, depositary shares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number of shares of Class A Shares, preferred shares, or depositary shares purchasable upon exercise of the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 considerations.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shares of Class A Shares, preferred shares, depositary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225" w:lineRule="exact"/>
        <w:rPr>
          <w:sz w:val="20"/>
          <w:szCs w:val="20"/>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sell the securities described in this prospectus through underwriters or dealers, through agents, or directly to one or more purchasers or through a combination of these methods. The applicable prospectus supplement will describe the terms of the offering of the securities,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securities underwritten or purchased by each of them,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from us and the net proceeds to us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Shares are listed on the NASDAQ Capital Market. Unless otherwise specified in the related prospectus supplement, all securities we offer, other than Class A Shares,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may pay the agent in the applicable prospectus supplement.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all amounts are estimates.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2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13,810.00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be determined</w:t>
            </w:r>
          </w:p>
        </w:tc>
        <w:tc>
          <w:tcPr>
            <w:tcW w:w="2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Kaufman &amp; Canoles, P.C. is acting as counsel to our company regarding U.S. securities law. Ogier is acting as counsel to our company regarding Cayman Islands law. The validity of the Class A Shares offered hereby will be passed upon for us by Ogier. Certain legal matters as to PRC law will be passed upon for us by Jingtian &amp; Gongcheng. Kaufman &amp; Canoles, P.C. may rely upon Jingtian &amp; Gongcheng with respect to matters governed by PRC law and on Ogier with respect to matters governed by Cayman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Marcum Asia CPAs LLP, an independent registered public accounting firm, has audited our consolidated financial statements as of September 30, 2025, 2024 and 2023, and for each of the years in the three-year period ended September 30, 2025, included in our Annual Report on Form 20-F for the fiscal year ended September 30, 2025, which is incorporated by reference into this prospectus and elsewhere in the registration statement in reliance on the report of Marcum Asia CPAs LLP.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GGF CPA LTD, an independent registered public accounting firm, has audited the consolidated financial statements of Celnet Technology Co., Ltd. and its subsidiaries as of September 30, 2025 and 2024, and for each of the two years in the period ended September 30, 2025, included in our Report on Form 6-K furnished to the SEC on April 21, 2026, which is incorporated by reference into this prospectus and elsewhere in the registration statement in reliance on the report of GGF CPA LTD.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Class A Shares was employed on a contingency basis, or had, or is to receive, in connection with the offering, a substantial interest, direct or indirect, in the registrant. Nor was any such person connected with the registrant as a promoter, managing or principal underwriter, voting trustee, director, officer, or 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we have been advised that it is the SEC’s opinion that such indemnification is against public policy as expressed in such act and is, therefore, unenforceable.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with the SEC with respect to the securities being offered pursuant to this prospectus. This prospectus omits certain information contained in the registration statement, as permitted by the SEC. You should refer to the registration statement, including the exhibits and schedules attached to the registration statement and the information incorporated by reference,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below in “Where You Can Find More Information.” The documents we are incorporating by reference into this prospectus are: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January 28,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Our Current Reports on Form 6-K, filed with the SEC on </w:t>
        </w:r>
        <w:r>
          <w:rPr>
            <w:rFonts w:ascii="Times New Roman" w:cs="Times New Roman" w:eastAsia="Times New Roman" w:hAnsi="Times New Roman"/>
            <w:sz w:val="18"/>
            <w:szCs w:val="18"/>
            <w:u w:val="single" w:color="auto"/>
            <w:color w:val="0000EE"/>
          </w:rPr>
          <w:t>January 29,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April 27, 2026</w:t>
        </w:r>
      </w:hyperlink>
      <w:hyperlink r:id="rId31">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Shares contained in our Registration Statement on </w:t>
      </w:r>
      <w:hyperlink r:id="rId33">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registering our Class A Shares under Section 12(b) under the Exchange Act,  filed with the SEC on December 13, 2024.</w:t>
      </w:r>
    </w:p>
    <w:p>
      <w:pPr>
        <w:spacing w:after="0" w:line="162" w:lineRule="exact"/>
        <w:rPr>
          <w:rFonts w:ascii="Times New Roman" w:cs="Times New Roman" w:eastAsia="Times New Roman" w:hAnsi="Times New Roman"/>
          <w:sz w:val="18"/>
          <w:szCs w:val="18"/>
          <w:color w:val="0000EE"/>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9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obtain a copy of these filings, without charge, by writing or calling us at:</w:t>
      </w:r>
    </w:p>
    <w:p>
      <w:pPr>
        <w:spacing w:after="0" w:line="22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Youxin Technology Ltd</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Room 1005, 1006, 1007, No. 122 Huangpu Avenue West, Tianhe District, Guangzhou, Guangdong Province,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Tel: +86 13631357745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Website: https://www.ir.youxin.cloud/</w:t>
      </w:r>
    </w:p>
    <w:p>
      <w:pPr>
        <w:spacing w:after="0" w:line="207"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Our directors, Jinhou Sun, who serves as our Chairman of our Board of Directors, and Shaozhang Lin, who concurrently serves as our Chief Executive Officer and director, are PRC residents. Our Chief Financial Officer, Xirui Guo is a PRC resident. One of our independent directors, Chu Kam Hung, is a Hong Kong permanent resident; Edward C. Ye is U.S. residents.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appointed Puglisi &amp; Associates (850 Library Avenue, Suite 204, Newark, Delaware 19711) as our agent to receive service of process with respect to any action brought against us in the United States District Court for the Southern District of New York under the federal securities laws of the United States or of any State of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Jingtian &amp; Gongcheng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advised by Ogier, our Cayman Islands legal counsel, that there is uncertainty as to whether the courts of the Cayman Islands would: (i) recognize or enforce judgments of courts of the United States against us or our directors or officers predicated upon the civil liability provisions of securities laws of the United States or any state in the United States; and (ii) entertain original actions brought in the Cayman Islands against us or our directors or officers predicated upon the securities laws of the United States or any state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been advised by Ogier that, although there is no statutory enforcement in the Cayman Islands of judgments obtained in the United States, the courts of the Cayman Islands will recognize and enforce a foreign judgment, without any re-examination or re-litigation of matters adjudicated upon, provided such judgment:</w:t>
      </w:r>
    </w:p>
    <w:p>
      <w:pPr>
        <w:spacing w:after="0" w:line="176" w:lineRule="exact"/>
        <w:rPr>
          <w:sz w:val="20"/>
          <w:szCs w:val="20"/>
          <w:color w:val="auto"/>
        </w:rPr>
      </w:pPr>
    </w:p>
    <w:p>
      <w:pPr>
        <w:ind w:left="460" w:hanging="236"/>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w:t>
      </w:r>
    </w:p>
    <w:p>
      <w:pPr>
        <w:spacing w:after="0" w:line="225"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460" w:hanging="236"/>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5540" w:right="2600" w:hanging="5316"/>
        <w:spacing w:after="0" w:line="532" w:lineRule="auto"/>
        <w:tabs>
          <w:tab w:leader="none" w:pos="4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As the courts of the Cayman Islands have yet to rule on making such a determination, it is uncertain whether such civil liability judgments from United States courts would be enforceable in the Cayman Islands. A Cayman Islands Court may stay enforcement proceedings if concurrent proceedings are being brought elsewhere.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applicable to foreign private issuers and file annual reports on Form 20-F and furnish reports on Form 6-K and other information with the SEC. This prospectus does not contain all of the information set forth in the registration statement or the exhibits that are a part of the registration statement. Our filings with the SEC are also available to the public through the SEC’s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431800</wp:posOffset>
            </wp:positionV>
            <wp:extent cx="2571750" cy="677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7754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YOUXIN TECHNOLOGY LTD</w:t>
      </w:r>
    </w:p>
    <w:p>
      <w:pPr>
        <w:sectPr>
          <w:pgSz w:w="11900" w:h="16838" w:orient="portrait"/>
          <w:cols w:equalWidth="0" w:num="1">
            <w:col w:w="9019"/>
          </w:cols>
          <w:pgMar w:left="1440" w:top="1440" w:right="1440"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$6,355,771</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269875</wp:posOffset>
            </wp:positionV>
            <wp:extent cx="1783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Aegis Capital Corp.</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Roman"/>
      <w:start w:val="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2"/>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Roman"/>
      <w:start w:val="4"/>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upperLetter"/>
      <w:start w:val="2"/>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Roman"/>
      <w:start w:val="3"/>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jpe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30" Type="http://schemas.openxmlformats.org/officeDocument/2006/relationships/hyperlink" Target="https://www.sec.gov/Archives/edgar/data/1964946/000149315226004040/form20-f.htm" TargetMode="External"/><Relationship Id="rId31" Type="http://schemas.openxmlformats.org/officeDocument/2006/relationships/hyperlink" Target="https://www.sec.gov/Archives/edgar/data/1964946/000149315226018175/form6-k.htm" TargetMode="External"/><Relationship Id="rId32" Type="http://schemas.openxmlformats.org/officeDocument/2006/relationships/hyperlink" Target="https://www.sec.gov/Archives/edgar/data/1964946/000149315226019058/form6-k.htm" TargetMode="External"/><Relationship Id="rId33" Type="http://schemas.openxmlformats.org/officeDocument/2006/relationships/hyperlink" Target="https://www.sec.gov/Archives/edgar/data/1964946/000149315224050008/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2026-06-26T14:52:16Z</dcterms:created>
  <dcterms:modified xsi:type="dcterms:W3CDTF">2026-06-26T14:52:16Z</dcterms:modified>
</cp:coreProperties>
</file>