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submitted to the Securities and Exchange Commission on December 13,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333-274404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F-1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YOUXIN TECHNOLOGY LTD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7372</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216"/>
        </w:trPr>
        <w:tc>
          <w:tcPr>
            <w:tcW w:w="6820" w:type="dxa"/>
            <w:vAlign w:val="bottom"/>
            <w:tcBorders>
              <w:bottom w:val="single" w:sz="8" w:color="auto"/>
            </w:tcBorders>
            <w:gridSpan w:val="4"/>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187"/>
        </w:trPr>
        <w:tc>
          <w:tcPr>
            <w:tcW w:w="6820" w:type="dxa"/>
            <w:vAlign w:val="bottom"/>
            <w:gridSpan w:val="4"/>
          </w:tcPr>
          <w:p>
            <w:pPr>
              <w:jc w:val="center"/>
              <w:ind w:right="12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Room 1005, 1006, 1007, No. 122 Huangpu Avenue West,</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tcPr>
          <w:p>
            <w:pPr>
              <w:jc w:val="center"/>
              <w:ind w:right="18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Puglisi &amp; Associates</w:t>
            </w:r>
          </w:p>
        </w:tc>
      </w:tr>
      <w:tr>
        <w:trPr>
          <w:trHeight w:val="216"/>
        </w:trPr>
        <w:tc>
          <w:tcPr>
            <w:tcW w:w="6820" w:type="dxa"/>
            <w:vAlign w:val="bottom"/>
            <w:gridSpan w:val="4"/>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9"/>
              </w:rPr>
              <w:t>Tianhe District, Guangzhou, Guangdong Province</w:t>
            </w:r>
          </w:p>
        </w:tc>
        <w:tc>
          <w:tcPr>
            <w:tcW w:w="4420" w:type="dxa"/>
            <w:vAlign w:val="bottom"/>
            <w:gridSpan w:val="3"/>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850 Library Avenue, Suite 204</w:t>
            </w:r>
          </w:p>
        </w:tc>
      </w:tr>
      <w:tr>
        <w:trPr>
          <w:trHeight w:val="216"/>
        </w:trPr>
        <w:tc>
          <w:tcPr>
            <w:tcW w:w="4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People’s Republic of China</w:t>
            </w:r>
          </w:p>
        </w:tc>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0" w:type="dxa"/>
            <w:vAlign w:val="bottom"/>
            <w:gridSpan w:val="2"/>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8"/>
              </w:rPr>
              <w:t>Newark, Delaware 19711</w:t>
            </w:r>
          </w:p>
        </w:tc>
      </w:tr>
      <w:tr>
        <w:trPr>
          <w:trHeight w:val="238"/>
        </w:trPr>
        <w:tc>
          <w:tcPr>
            <w:tcW w:w="4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Tel: +86 13631357745</w:t>
            </w:r>
          </w:p>
        </w:tc>
        <w:tc>
          <w:tcPr>
            <w:tcW w:w="2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0" w:type="dxa"/>
            <w:vAlign w:val="bottom"/>
            <w:gridSpan w:val="2"/>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8"/>
              </w:rPr>
              <w:t>Tel: +1 (302) 738-6680</w:t>
            </w:r>
          </w:p>
        </w:tc>
      </w:tr>
      <w:tr>
        <w:trPr>
          <w:trHeight w:val="414"/>
        </w:trPr>
        <w:tc>
          <w:tcPr>
            <w:tcW w:w="6820" w:type="dxa"/>
            <w:vAlign w:val="bottom"/>
            <w:gridSpan w:val="4"/>
          </w:tcPr>
          <w:p>
            <w:pPr>
              <w:jc w:val="center"/>
              <w:ind w:right="1210"/>
              <w:spacing w:after="0"/>
              <w:rPr>
                <w:sz w:val="20"/>
                <w:szCs w:val="20"/>
                <w:color w:val="auto"/>
              </w:rPr>
            </w:pPr>
            <w:r>
              <w:rPr>
                <w:rFonts w:ascii="Times New Roman" w:cs="Times New Roman" w:eastAsia="Times New Roman" w:hAnsi="Times New Roman"/>
                <w:sz w:val="18"/>
                <w:szCs w:val="18"/>
                <w:color w:val="auto"/>
                <w:w w:val="99"/>
              </w:rPr>
              <w:t>(Address, Including Zip Code, and Telephone Number,</w:t>
            </w:r>
          </w:p>
        </w:tc>
        <w:tc>
          <w:tcPr>
            <w:tcW w:w="4420" w:type="dxa"/>
            <w:vAlign w:val="bottom"/>
            <w:gridSpan w:val="3"/>
          </w:tcPr>
          <w:p>
            <w:pPr>
              <w:jc w:val="center"/>
              <w:ind w:right="990"/>
              <w:spacing w:after="0"/>
              <w:rPr>
                <w:sz w:val="20"/>
                <w:szCs w:val="20"/>
                <w:color w:val="auto"/>
              </w:rPr>
            </w:pPr>
            <w:r>
              <w:rPr>
                <w:rFonts w:ascii="Times New Roman" w:cs="Times New Roman" w:eastAsia="Times New Roman" w:hAnsi="Times New Roman"/>
                <w:sz w:val="18"/>
                <w:szCs w:val="18"/>
                <w:color w:val="auto"/>
              </w:rPr>
              <w:t>(Name, address, including zip code, and</w:t>
            </w:r>
          </w:p>
        </w:tc>
      </w:tr>
      <w:tr>
        <w:trPr>
          <w:trHeight w:val="216"/>
        </w:trPr>
        <w:tc>
          <w:tcPr>
            <w:tcW w:w="4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Including Area Code, of Registrant’s Principal</w:t>
            </w:r>
          </w:p>
        </w:tc>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telephone number,</w:t>
            </w:r>
          </w:p>
        </w:tc>
      </w:tr>
      <w:tr>
        <w:trPr>
          <w:trHeight w:val="234"/>
        </w:trPr>
        <w:tc>
          <w:tcPr>
            <w:tcW w:w="450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Executive Offices)</w:t>
            </w:r>
          </w:p>
        </w:tc>
        <w:tc>
          <w:tcPr>
            <w:tcW w:w="23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jc w:val="center"/>
              <w:ind w:right="990"/>
              <w:spacing w:after="0"/>
              <w:rPr>
                <w:sz w:val="20"/>
                <w:szCs w:val="20"/>
                <w:color w:val="auto"/>
              </w:rPr>
            </w:pPr>
            <w:r>
              <w:rPr>
                <w:rFonts w:ascii="Times New Roman" w:cs="Times New Roman" w:eastAsia="Times New Roman" w:hAnsi="Times New Roman"/>
                <w:sz w:val="18"/>
                <w:szCs w:val="18"/>
                <w:color w:val="auto"/>
                <w:w w:val="99"/>
              </w:rPr>
              <w:t>including area code, of agent for service)</w:t>
            </w:r>
          </w:p>
        </w:tc>
      </w:tr>
      <w:tr>
        <w:trPr>
          <w:trHeight w:val="426"/>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Copies to:</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10"/>
        </w:trPr>
        <w:tc>
          <w:tcPr>
            <w:tcW w:w="4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Anthony W. Basch, Esq.</w:t>
            </w:r>
          </w:p>
        </w:tc>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Alexander W. Powell Jr., Esq.</w:t>
            </w:r>
          </w:p>
        </w:tc>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45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Benming Zhang, Esq.</w:t>
            </w:r>
          </w:p>
        </w:tc>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0" w:type="dxa"/>
            <w:vAlign w:val="bottom"/>
            <w:gridSpan w:val="2"/>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Spencer G. Feldman, Esq.</w:t>
            </w:r>
          </w:p>
        </w:tc>
      </w:tr>
      <w:tr>
        <w:trPr>
          <w:trHeight w:val="216"/>
        </w:trPr>
        <w:tc>
          <w:tcPr>
            <w:tcW w:w="45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Kaufman &amp; Canoles P.C.</w:t>
            </w:r>
          </w:p>
        </w:tc>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0" w:type="dxa"/>
            <w:vAlign w:val="bottom"/>
            <w:gridSpan w:val="2"/>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Dakota J. Forsyth, Esq.</w:t>
            </w:r>
          </w:p>
        </w:tc>
      </w:tr>
      <w:tr>
        <w:trPr>
          <w:trHeight w:val="216"/>
        </w:trPr>
        <w:tc>
          <w:tcPr>
            <w:tcW w:w="45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Two James Center, 14th Floor</w:t>
            </w:r>
          </w:p>
        </w:tc>
        <w:tc>
          <w:tcPr>
            <w:tcW w:w="2320" w:type="dxa"/>
            <w:vAlign w:val="bottom"/>
          </w:tcPr>
          <w:p>
            <w:pPr>
              <w:spacing w:after="0"/>
              <w:rPr>
                <w:sz w:val="18"/>
                <w:szCs w:val="18"/>
                <w:color w:val="auto"/>
              </w:rPr>
            </w:pPr>
          </w:p>
        </w:tc>
        <w:tc>
          <w:tcPr>
            <w:tcW w:w="4420" w:type="dxa"/>
            <w:vAlign w:val="bottom"/>
            <w:gridSpan w:val="3"/>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Olshan Frome Wolosky LLP</w:t>
            </w:r>
          </w:p>
        </w:tc>
      </w:tr>
      <w:tr>
        <w:trPr>
          <w:trHeight w:val="216"/>
        </w:trPr>
        <w:tc>
          <w:tcPr>
            <w:tcW w:w="4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1021 East Cary Street</w:t>
            </w:r>
          </w:p>
        </w:tc>
        <w:tc>
          <w:tcPr>
            <w:tcW w:w="2320" w:type="dxa"/>
            <w:vAlign w:val="bottom"/>
          </w:tcPr>
          <w:p>
            <w:pPr>
              <w:spacing w:after="0"/>
              <w:rPr>
                <w:sz w:val="18"/>
                <w:szCs w:val="18"/>
                <w:color w:val="auto"/>
              </w:rPr>
            </w:pPr>
          </w:p>
        </w:tc>
        <w:tc>
          <w:tcPr>
            <w:tcW w:w="4420" w:type="dxa"/>
            <w:vAlign w:val="bottom"/>
            <w:gridSpan w:val="3"/>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1325 Avenue of the Americas, 15th Floor</w:t>
            </w:r>
          </w:p>
        </w:tc>
      </w:tr>
      <w:tr>
        <w:trPr>
          <w:trHeight w:val="216"/>
        </w:trPr>
        <w:tc>
          <w:tcPr>
            <w:tcW w:w="45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Richmond, Virginia 23219</w:t>
            </w:r>
          </w:p>
        </w:tc>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0" w:type="dxa"/>
            <w:vAlign w:val="bottom"/>
            <w:gridSpan w:val="2"/>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7"/>
              </w:rPr>
              <w:t>New York, New York 10019</w:t>
            </w:r>
          </w:p>
        </w:tc>
      </w:tr>
      <w:tr>
        <w:trPr>
          <w:trHeight w:val="238"/>
        </w:trPr>
        <w:tc>
          <w:tcPr>
            <w:tcW w:w="4500" w:type="dxa"/>
            <w:vAlign w:val="bottom"/>
            <w:tcBorders>
              <w:bottom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Tel: +1 (804) 771-5700</w:t>
            </w:r>
          </w:p>
        </w:tc>
        <w:tc>
          <w:tcPr>
            <w:tcW w:w="23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8"/>
              </w:rPr>
              <w:t>Tel: +1 (212) 451-2300</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date of commencement of proposed sale to public: As soon as practicable after the effective date of this Registration Statement.</w:t>
      </w:r>
    </w:p>
    <w:p>
      <w:pPr>
        <w:spacing w:after="0" w:line="225"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7(a)(2)(B) of the Securities Act. </w:t>
      </w:r>
      <w:r>
        <w:rPr>
          <w:rFonts w:ascii="MS PGothic" w:cs="MS PGothic" w:eastAsia="MS PGothic" w:hAnsi="MS PGothic"/>
          <w:sz w:val="18"/>
          <w:szCs w:val="18"/>
          <w:color w:val="auto"/>
        </w:rPr>
        <w:t>☐</w:t>
      </w:r>
    </w:p>
    <w:p>
      <w:pPr>
        <w:spacing w:after="0" w:line="171"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240"/>
          </w:cols>
          <w:pgMar w:left="320" w:top="441" w:right="339" w:bottom="73" w:gutter="0" w:footer="0" w:header="0"/>
        </w:sectPr>
      </w:pPr>
    </w:p>
    <w:bookmarkStart w:id="1" w:name="page2"/>
    <w:bookmarkEnd w:id="1"/>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Youxin Technology Ltd is filing this Amendment No. 12 to its registration statement on Form F-1 (File No. 333-274404) as an exhibits-only filing. Accordingly, this amendment consists only of the facing page, this explanatory note, the Exhibit Index of Part II of the Registration Statement, the signature page to the Registration Statement and the filed exhibit. The remainder of the Registration Statement is unchanged and has therefore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80" w:type="dxa"/>
            <w:vAlign w:val="bottom"/>
            <w:gridSpan w:val="17"/>
          </w:tcPr>
          <w:p>
            <w:pPr>
              <w:jc w:val="center"/>
              <w:ind w:right="5060"/>
              <w:spacing w:after="0"/>
              <w:rPr>
                <w:sz w:val="20"/>
                <w:szCs w:val="20"/>
                <w:color w:val="auto"/>
              </w:rPr>
            </w:pPr>
            <w:r>
              <w:rPr>
                <w:rFonts w:ascii="Times New Roman" w:cs="Times New Roman" w:eastAsia="Times New Roman" w:hAnsi="Times New Roman"/>
                <w:sz w:val="18"/>
                <w:szCs w:val="18"/>
                <w:b w:val="1"/>
                <w:bCs w:val="1"/>
                <w:color w:val="auto"/>
                <w:w w:val="94"/>
              </w:rPr>
              <w:t>PART II</w:t>
            </w:r>
          </w:p>
        </w:tc>
      </w:t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80" w:type="dxa"/>
            <w:vAlign w:val="bottom"/>
            <w:gridSpan w:val="28"/>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INFORMATION NOT REQUIRED IN PROSPECTUS</w:t>
            </w:r>
          </w:p>
        </w:tc>
      </w:tr>
      <w:tr>
        <w:trPr>
          <w:trHeight w:val="432"/>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80" w:type="dxa"/>
            <w:vAlign w:val="bottom"/>
            <w:gridSpan w:val="20"/>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14"/>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120" w:type="dxa"/>
            <w:vAlign w:val="bottom"/>
            <w:gridSpan w:val="34"/>
            <w:shd w:val="clear" w:color="auto" w:fill="CCEEFF"/>
          </w:tcPr>
          <w:p>
            <w:pPr>
              <w:spacing w:after="0" w:line="169"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Form of Underwriting Agreement</w:t>
              </w:r>
            </w:hyperlink>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10140" w:type="dxa"/>
            <w:vAlign w:val="bottom"/>
            <w:gridSpan w:val="35"/>
          </w:tcPr>
          <w:p>
            <w:pPr>
              <w:spacing w:after="0" w:line="17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Memorandum and Articles of Association</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5"/>
                <w:szCs w:val="15"/>
                <w:color w:val="auto"/>
              </w:rPr>
            </w:pPr>
          </w:p>
        </w:tc>
        <w:tc>
          <w:tcPr>
            <w:tcW w:w="1014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Second Amended and Restated Memorandum of Association</w:t>
              </w:r>
            </w:hyperlink>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5"/>
                <w:szCs w:val="15"/>
                <w:color w:val="auto"/>
              </w:rPr>
            </w:pPr>
          </w:p>
        </w:tc>
        <w:tc>
          <w:tcPr>
            <w:tcW w:w="10140" w:type="dxa"/>
            <w:vAlign w:val="bottom"/>
            <w:gridSpan w:val="35"/>
          </w:tcPr>
          <w:p>
            <w:pPr>
              <w:spacing w:after="0" w:line="17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Second Amended and Restated Articles of Association</w:t>
              </w:r>
            </w:hyperlink>
          </w:p>
        </w:tc>
      </w:tr>
      <w:tr>
        <w:trPr>
          <w:trHeight w:val="21"/>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5"/>
                <w:szCs w:val="15"/>
                <w:color w:val="auto"/>
              </w:rPr>
            </w:pPr>
          </w:p>
        </w:tc>
        <w:tc>
          <w:tcPr>
            <w:tcW w:w="1014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Registrant’s Specimen Certificate for Ordinary Shares</w:t>
              </w:r>
            </w:hyperlink>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40" w:type="dxa"/>
            <w:vAlign w:val="bottom"/>
            <w:gridSpan w:val="35"/>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Form of Underwriter’s Warrant</w:t>
              </w:r>
            </w:hyperlink>
          </w:p>
        </w:tc>
      </w:tr>
      <w:tr>
        <w:trPr>
          <w:trHeight w:val="21"/>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5"/>
                <w:szCs w:val="15"/>
                <w:color w:val="auto"/>
              </w:rPr>
            </w:pPr>
          </w:p>
        </w:tc>
        <w:tc>
          <w:tcPr>
            <w:tcW w:w="1014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Opinion of Ogier regarding the validity of the Ordinary Shares being registered</w:t>
              </w:r>
            </w:hyperlink>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5"/>
                <w:szCs w:val="15"/>
                <w:color w:val="auto"/>
              </w:rPr>
            </w:pPr>
          </w:p>
        </w:tc>
        <w:tc>
          <w:tcPr>
            <w:tcW w:w="10140" w:type="dxa"/>
            <w:vAlign w:val="bottom"/>
            <w:gridSpan w:val="35"/>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Opinion of Jingtian &amp; Gongcheng regarding certain PRC tax matters (included in Exhibit 99.1)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5"/>
                <w:szCs w:val="15"/>
                <w:color w:val="auto"/>
              </w:rPr>
            </w:pPr>
          </w:p>
        </w:tc>
        <w:tc>
          <w:tcPr>
            <w:tcW w:w="1014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Opinion of Kaufman &amp; Canoles, P.C. regarding certain U.S. federal income tax matters</w:t>
              </w:r>
            </w:hyperlink>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40" w:type="dxa"/>
            <w:vAlign w:val="bottom"/>
            <w:gridSpan w:val="35"/>
          </w:tcPr>
          <w:p>
            <w:pPr>
              <w:spacing w:after="0" w:line="17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Employment Agreement with Shaozhang Lin</w:t>
              </w:r>
            </w:hyperlink>
          </w:p>
        </w:tc>
      </w:tr>
      <w:tr>
        <w:trPr>
          <w:trHeight w:val="21"/>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5"/>
                <w:szCs w:val="15"/>
                <w:color w:val="auto"/>
              </w:rPr>
            </w:pPr>
          </w:p>
        </w:tc>
        <w:tc>
          <w:tcPr>
            <w:tcW w:w="1014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Employment Agreement with Xirui Guo</w:t>
              </w:r>
            </w:hyperlink>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10140" w:type="dxa"/>
            <w:vAlign w:val="bottom"/>
            <w:tcBorders>
              <w:bottom w:val="single" w:sz="8" w:color="0000EE"/>
            </w:tcBorders>
            <w:gridSpan w:val="35"/>
          </w:tcPr>
          <w:p>
            <w:pPr>
              <w:spacing w:after="0" w:line="17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English translation of the Guangxi Yousen Share Transfer Agreement between Shaozhang Lin, Jinhou Sun, Weizhao Feng and Guangzhou</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35"/>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Youxin Technology Co., Ltd.</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5"/>
                <w:szCs w:val="15"/>
                <w:color w:val="auto"/>
              </w:rPr>
            </w:pPr>
          </w:p>
        </w:tc>
        <w:tc>
          <w:tcPr>
            <w:tcW w:w="1014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English translation of the Guangxi Yousen Share Transfer Agreement Guangzhou Youxin Technology Co., Ltd, and Shaofen Lin</w:t>
              </w:r>
            </w:hyperlink>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5"/>
                <w:szCs w:val="15"/>
                <w:color w:val="auto"/>
              </w:rPr>
            </w:pPr>
          </w:p>
        </w:tc>
        <w:tc>
          <w:tcPr>
            <w:tcW w:w="10140" w:type="dxa"/>
            <w:vAlign w:val="bottom"/>
            <w:gridSpan w:val="35"/>
          </w:tcPr>
          <w:p>
            <w:pPr>
              <w:spacing w:after="0" w:line="17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English translation of Share Transfer Agreement between Shareholders of Guangzhou Youxin Technology Co., Ltd. with WFOE.</w:t>
              </w:r>
            </w:hyperlink>
          </w:p>
        </w:tc>
      </w:tr>
      <w:tr>
        <w:trPr>
          <w:trHeight w:val="21"/>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5"/>
                <w:szCs w:val="15"/>
                <w:color w:val="auto"/>
              </w:rPr>
            </w:pPr>
          </w:p>
        </w:tc>
        <w:tc>
          <w:tcPr>
            <w:tcW w:w="1014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English translation of Share Transfer Agreement between Shareholders of Guangzhou Youxin Technology Co., Ltd. with Songshuibang</w:t>
              </w:r>
            </w:hyperlink>
          </w:p>
        </w:tc>
      </w:tr>
      <w:tr>
        <w:trPr>
          <w:trHeight w:val="196"/>
        </w:trPr>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760" w:type="dxa"/>
            <w:vAlign w:val="bottom"/>
            <w:tcBorders>
              <w:top w:val="single" w:sz="8" w:color="0000EE"/>
            </w:tcBorders>
            <w:gridSpan w:val="34"/>
            <w:shd w:val="clear" w:color="auto" w:fill="CCEEFF"/>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Smart Technology Co., Ltd.</w:t>
              </w:r>
            </w:hyperlink>
          </w:p>
        </w:tc>
        <w:tc>
          <w:tcPr>
            <w:tcW w:w="380" w:type="dxa"/>
            <w:vAlign w:val="bottom"/>
            <w:tcBorders>
              <w:top w:val="single" w:sz="8" w:color="CCEEFF"/>
            </w:tcBorders>
            <w:shd w:val="clear" w:color="auto" w:fill="CCEEFF"/>
          </w:tcPr>
          <w:p>
            <w:pPr>
              <w:spacing w:after="0"/>
              <w:rPr>
                <w:sz w:val="17"/>
                <w:szCs w:val="17"/>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10140" w:type="dxa"/>
            <w:vAlign w:val="bottom"/>
            <w:gridSpan w:val="35"/>
          </w:tcPr>
          <w:p>
            <w:pPr>
              <w:spacing w:after="0" w:line="17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English translation of Service Agreement with Tencent Cloud Computing (Beijing) Co., Ltd.</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5"/>
                <w:szCs w:val="15"/>
                <w:color w:val="auto"/>
              </w:rPr>
            </w:pPr>
          </w:p>
        </w:tc>
        <w:tc>
          <w:tcPr>
            <w:tcW w:w="1014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English translation of Service Agreement with Ali Cloud Computing Co., Ltd.</w:t>
              </w:r>
            </w:hyperlink>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5"/>
                <w:szCs w:val="15"/>
                <w:color w:val="auto"/>
              </w:rPr>
            </w:pPr>
          </w:p>
        </w:tc>
        <w:tc>
          <w:tcPr>
            <w:tcW w:w="10140" w:type="dxa"/>
            <w:vAlign w:val="bottom"/>
            <w:gridSpan w:val="35"/>
          </w:tcPr>
          <w:p>
            <w:pPr>
              <w:spacing w:after="0" w:line="17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English translation of Service Agreement with CICC Financial Technology Changsha Co., Ltd.</w:t>
              </w:r>
            </w:hyperlink>
          </w:p>
        </w:tc>
      </w:tr>
      <w:tr>
        <w:trPr>
          <w:trHeight w:val="21"/>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5"/>
                <w:szCs w:val="15"/>
                <w:color w:val="auto"/>
              </w:rPr>
            </w:pPr>
          </w:p>
        </w:tc>
        <w:tc>
          <w:tcPr>
            <w:tcW w:w="1014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English translation of Service Agreement with Beijing Jiujia Communication Technology Co., Ltd.</w:t>
              </w:r>
            </w:hyperlink>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5"/>
                <w:szCs w:val="15"/>
                <w:color w:val="auto"/>
              </w:rPr>
            </w:pPr>
          </w:p>
        </w:tc>
        <w:tc>
          <w:tcPr>
            <w:tcW w:w="10140" w:type="dxa"/>
            <w:vAlign w:val="bottom"/>
            <w:gridSpan w:val="35"/>
          </w:tcPr>
          <w:p>
            <w:pPr>
              <w:spacing w:after="0" w:line="17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Form of Indemnification Agreement between the Registrant and its directors and officers</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Borders>
              <w:bottom w:val="single" w:sz="8" w:color="CCEEFF"/>
            </w:tcBorders>
            <w:shd w:val="clear" w:color="auto" w:fill="CCEEFF"/>
          </w:tcPr>
          <w:p>
            <w:pPr>
              <w:spacing w:after="0"/>
              <w:rPr>
                <w:sz w:val="15"/>
                <w:szCs w:val="15"/>
                <w:color w:val="auto"/>
              </w:rPr>
            </w:pPr>
          </w:p>
        </w:tc>
        <w:tc>
          <w:tcPr>
            <w:tcW w:w="10140" w:type="dxa"/>
            <w:vAlign w:val="bottom"/>
            <w:tcBorders>
              <w:bottom w:val="single" w:sz="8" w:color="0000EE"/>
            </w:tcBorders>
            <w:gridSpan w:val="35"/>
            <w:shd w:val="clear" w:color="auto" w:fill="CCEEFF"/>
          </w:tcPr>
          <w:p>
            <w:pPr>
              <w:spacing w:after="0" w:line="17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English translation of Cooperation Agreement for Software Development between Guangzhou Youxin Technology Co., Ltd. and Guangzhou</w:t>
              </w:r>
            </w:hyperlink>
          </w:p>
        </w:tc>
      </w:tr>
      <w:tr>
        <w:trPr>
          <w:trHeight w:val="196"/>
        </w:trPr>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40" w:type="dxa"/>
            <w:vAlign w:val="bottom"/>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Huitou Information Technology Co., Ltd.</w:t>
              </w:r>
            </w:hyperlink>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5"/>
                <w:szCs w:val="15"/>
                <w:color w:val="auto"/>
              </w:rPr>
            </w:pPr>
          </w:p>
        </w:tc>
        <w:tc>
          <w:tcPr>
            <w:tcW w:w="10140" w:type="dxa"/>
            <w:vAlign w:val="bottom"/>
            <w:tcBorders>
              <w:bottom w:val="single" w:sz="8" w:color="0000EE"/>
            </w:tcBorders>
            <w:gridSpan w:val="35"/>
          </w:tcPr>
          <w:p>
            <w:pPr>
              <w:spacing w:after="0" w:line="17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English translation of contract for the Sale of Dealer Management System between Guangzhou Youxin Technology Co., Ltd. and top</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35"/>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customer</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shd w:val="clear" w:color="auto" w:fill="CCEEFF"/>
          </w:tcPr>
          <w:p>
            <w:pPr>
              <w:spacing w:after="0"/>
              <w:rPr>
                <w:sz w:val="15"/>
                <w:szCs w:val="15"/>
                <w:color w:val="auto"/>
              </w:rPr>
            </w:pPr>
          </w:p>
        </w:tc>
        <w:tc>
          <w:tcPr>
            <w:tcW w:w="1014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English translation of contract for ordering Youxin Social New Retail System Technical Services to a customer</w:t>
              </w:r>
            </w:hyperlink>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5"/>
                <w:szCs w:val="15"/>
                <w:color w:val="auto"/>
              </w:rPr>
            </w:pPr>
          </w:p>
        </w:tc>
        <w:tc>
          <w:tcPr>
            <w:tcW w:w="10140" w:type="dxa"/>
            <w:vAlign w:val="bottom"/>
            <w:gridSpan w:val="35"/>
          </w:tcPr>
          <w:p>
            <w:pPr>
              <w:spacing w:after="0" w:line="17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Code of Business Conduct and Ethics of the Registrant</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5"/>
                <w:szCs w:val="15"/>
                <w:color w:val="auto"/>
              </w:rPr>
            </w:pPr>
          </w:p>
        </w:tc>
        <w:tc>
          <w:tcPr>
            <w:tcW w:w="1014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List of Subsidiaries</w:t>
              </w:r>
            </w:hyperlink>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1014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Asia CPAS, LLP</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5"/>
                <w:szCs w:val="15"/>
                <w:color w:val="auto"/>
              </w:rPr>
            </w:pPr>
          </w:p>
        </w:tc>
        <w:tc>
          <w:tcPr>
            <w:tcW w:w="1014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Consent of Ogier (included in Exhibit 5.1)</w:t>
              </w:r>
            </w:hyperlink>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5"/>
                <w:szCs w:val="15"/>
                <w:color w:val="auto"/>
              </w:rPr>
            </w:pPr>
          </w:p>
        </w:tc>
        <w:tc>
          <w:tcPr>
            <w:tcW w:w="10140" w:type="dxa"/>
            <w:vAlign w:val="bottom"/>
            <w:gridSpan w:val="35"/>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Consent of Jingtian&amp;Gongcheng (included in Exhibit 99.1)</w:t>
              </w:r>
            </w:hyperlink>
          </w:p>
        </w:tc>
      </w:tr>
      <w:tr>
        <w:trPr>
          <w:trHeight w:val="21"/>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5"/>
                <w:szCs w:val="15"/>
                <w:color w:val="auto"/>
              </w:rPr>
            </w:pPr>
          </w:p>
        </w:tc>
        <w:tc>
          <w:tcPr>
            <w:tcW w:w="1014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Consent of Kaufman &amp; Canoles, P.C. (included in Exhibit 8.2)</w:t>
              </w:r>
            </w:hyperlink>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5"/>
                <w:szCs w:val="15"/>
                <w:color w:val="auto"/>
              </w:rPr>
            </w:pPr>
          </w:p>
        </w:tc>
        <w:tc>
          <w:tcPr>
            <w:tcW w:w="10140" w:type="dxa"/>
            <w:vAlign w:val="bottom"/>
            <w:gridSpan w:val="35"/>
          </w:tcPr>
          <w:p>
            <w:pPr>
              <w:spacing w:after="0" w:line="17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Power of Attorney (included on signature page to this filing of the Registration Statement on Form F-1)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4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Opinion of Jingtian &amp; Gongcheng, People’s Republic of China counsel to the Registrant, regarding certain PRC law matters</w:t>
              </w:r>
            </w:hyperlink>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40" w:type="dxa"/>
            <w:vAlign w:val="bottom"/>
            <w:gridSpan w:val="35"/>
          </w:tcPr>
          <w:p>
            <w:pPr>
              <w:spacing w:after="0" w:line="17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Consent of China Insights Consultancy</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5"/>
                <w:szCs w:val="15"/>
                <w:color w:val="auto"/>
              </w:rPr>
            </w:pPr>
          </w:p>
        </w:tc>
        <w:tc>
          <w:tcPr>
            <w:tcW w:w="1014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Filing Fee Table</w:t>
              </w:r>
            </w:hyperlink>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Guangzhou, China, on December 13, 2024.</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Youxin Technology Ltd</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Shaozhang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Mr. Shaozhang Lin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516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Shaozhang Lin</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13,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Name: Shaozhang Lin</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/s/Xirui Guo</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13,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Name: Xirui Guo</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Jinhou Sun</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 of the Board of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13,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Name: Jinhou Sun</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/s/Richard Wee Yong Seow</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Independent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13,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Name: Richard Wee Yong Seow</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Qing Gao</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Independent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13,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Name: Qing Gao</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Edward C. Ye</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Independent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13,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Name: Edward C. Ye</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Youxin Technology Ltd, has signed this registration statement or amendment thereto in Newark, Delaware on December 13, 2024.</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Donald J. Puglisi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156845</wp:posOffset>
            </wp:positionV>
            <wp:extent cx="2305685"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extLst>
                    </a:blip>
                    <a:srcRect/>
                    <a:stretch>
                      <a:fillRect/>
                    </a:stretch>
                  </pic:blipFill>
                  <pic:spPr bwMode="auto">
                    <a:xfrm>
                      <a:off x="0" y="0"/>
                      <a:ext cx="23056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Youxin Technology Ltd on Amendment No.12 to Form F-1 (File No. 333-274404) of our report dated January 19, 2024, except for the effects of the restatement discussed in Note 17 as to which the date is February 21, 2024, which includes an explanatory paragraph as to the Company’s ability to continue as a going concern, with respect to our audits of the consolidated financial statements of Youxin Technology Ltd as of September 30, 2023 and 2022 and for each of the years in the two-year period ended September 30, 2023, which report appears in the Prospectus, which is part of this Registration Statement. We also consent to the reference to our Firm under the heading “Experts” in such Prospectus.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13,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OFFICE • 7 Penn Plaza • Suite 830 • New York, New York • 10001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646.442.4845 • Fax 646.349.5200 • www.marcumasia.com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42" Type="http://schemas.openxmlformats.org/officeDocument/2006/relationships/image" Target="media/image7.png"/><Relationship Id="rId43" Type="http://schemas.openxmlformats.org/officeDocument/2006/relationships/image" Target="media/image8.png"/><Relationship Id="rId44" Type="http://schemas.openxmlformats.org/officeDocument/2006/relationships/image" Target="media/image9.png"/><Relationship Id="rId45" Type="http://schemas.openxmlformats.org/officeDocument/2006/relationships/image" Target="media/image10.png"/><Relationship Id="rId46" Type="http://schemas.openxmlformats.org/officeDocument/2006/relationships/image" Target="media/image11.jpeg"/><Relationship Id="rId47" Type="http://schemas.openxmlformats.org/officeDocument/2006/relationships/image" Target="media/image12.png"/><Relationship Id="rId14" Type="http://schemas.openxmlformats.org/officeDocument/2006/relationships/hyperlink" Target="https://www.sec.gov/Archives/edgar/data/1964946/000149315224033742/ex1-1.htm" TargetMode="External"/><Relationship Id="rId15" Type="http://schemas.openxmlformats.org/officeDocument/2006/relationships/hyperlink" Target="https://www.sec.gov/Archives/edgar/data/1964946/000149315223044165/ex3-1.htm" TargetMode="External"/><Relationship Id="rId16" Type="http://schemas.openxmlformats.org/officeDocument/2006/relationships/hyperlink" Target="https://www.sec.gov/Archives/edgar/data/1964946/000149315223044165/ex3-2.htm" TargetMode="External"/><Relationship Id="rId17" Type="http://schemas.openxmlformats.org/officeDocument/2006/relationships/hyperlink" Target="https://www.sec.gov/Archives/edgar/data/1964946/000149315224003100/ex3-3.htm" TargetMode="External"/><Relationship Id="rId18" Type="http://schemas.openxmlformats.org/officeDocument/2006/relationships/hyperlink" Target="https://www.sec.gov/Archives/edgar/data/1964946/000149315223045378/ex4-1.htm" TargetMode="External"/><Relationship Id="rId19" Type="http://schemas.openxmlformats.org/officeDocument/2006/relationships/hyperlink" Target="https://www.sec.gov/Archives/edgar/data/1964946/000149315224033742/ex4-2.htm" TargetMode="External"/><Relationship Id="rId20" Type="http://schemas.openxmlformats.org/officeDocument/2006/relationships/hyperlink" Target="https://www.sec.gov/Archives/edgar/data/1964946/000149315224040912/ex5-1.htm" TargetMode="External"/><Relationship Id="rId21" Type="http://schemas.openxmlformats.org/officeDocument/2006/relationships/hyperlink" Target="https://www.sec.gov/Archives/edgar/data/1964946/000149315224040912/ex23-3.htm" TargetMode="External"/><Relationship Id="rId22" Type="http://schemas.openxmlformats.org/officeDocument/2006/relationships/hyperlink" Target="https://www.sec.gov/Archives/edgar/data/1964946/000149315224040912/ex8-2.htm" TargetMode="External"/><Relationship Id="rId23" Type="http://schemas.openxmlformats.org/officeDocument/2006/relationships/hyperlink" Target="https://www.sec.gov/Archives/edgar/data/1964946/000149315223032000/ex10-1.htm" TargetMode="External"/><Relationship Id="rId24" Type="http://schemas.openxmlformats.org/officeDocument/2006/relationships/hyperlink" Target="https://www.sec.gov/Archives/edgar/data/1964946/000149315223032000/ex10-2.htm" TargetMode="External"/><Relationship Id="rId25" Type="http://schemas.openxmlformats.org/officeDocument/2006/relationships/hyperlink" Target="https://www.sec.gov/Archives/edgar/data/1964946/000149315223032000/ex10-3.htm" TargetMode="External"/><Relationship Id="rId26" Type="http://schemas.openxmlformats.org/officeDocument/2006/relationships/hyperlink" Target="https://www.sec.gov/Archives/edgar/data/1964946/000149315223032000/ex10-4.htm" TargetMode="External"/><Relationship Id="rId27" Type="http://schemas.openxmlformats.org/officeDocument/2006/relationships/hyperlink" Target="https://www.sec.gov/Archives/edgar/data/1964946/000149315223032000/ex10-5.htm" TargetMode="External"/><Relationship Id="rId28" Type="http://schemas.openxmlformats.org/officeDocument/2006/relationships/hyperlink" Target="https://www.sec.gov/Archives/edgar/data/1964946/000149315223032000/ex10-6.htm" TargetMode="External"/><Relationship Id="rId29" Type="http://schemas.openxmlformats.org/officeDocument/2006/relationships/hyperlink" Target="https://www.sec.gov/Archives/edgar/data/1964946/000149315223032000/ex10-7.htm" TargetMode="External"/><Relationship Id="rId30" Type="http://schemas.openxmlformats.org/officeDocument/2006/relationships/hyperlink" Target="https://www.sec.gov/Archives/edgar/data/1964946/000149315223032000/ex10-8.htm" TargetMode="External"/><Relationship Id="rId31" Type="http://schemas.openxmlformats.org/officeDocument/2006/relationships/hyperlink" Target="https://www.sec.gov/Archives/edgar/data/1964946/000149315223032000/ex10-9.htm" TargetMode="External"/><Relationship Id="rId32" Type="http://schemas.openxmlformats.org/officeDocument/2006/relationships/hyperlink" Target="https://www.sec.gov/Archives/edgar/data/1964946/000149315223032000/ex10-10.htm" TargetMode="External"/><Relationship Id="rId33" Type="http://schemas.openxmlformats.org/officeDocument/2006/relationships/hyperlink" Target="https://www.sec.gov/Archives/edgar/data/1964946/000149315224003100/ex10-11.htm" TargetMode="External"/><Relationship Id="rId34" Type="http://schemas.openxmlformats.org/officeDocument/2006/relationships/hyperlink" Target="https://www.sec.gov/Archives/edgar/data/1964946/000149315223032000/ex10-12.htm" TargetMode="External"/><Relationship Id="rId35" Type="http://schemas.openxmlformats.org/officeDocument/2006/relationships/hyperlink" Target="https://www.sec.gov/Archives/edgar/data/1964946/000149315223032000/ex10-13.htm" TargetMode="External"/><Relationship Id="rId36" Type="http://schemas.openxmlformats.org/officeDocument/2006/relationships/hyperlink" Target="https://www.sec.gov/Archives/edgar/data/1964946/000149315223032000/ex10-14.htm" TargetMode="External"/><Relationship Id="rId37" Type="http://schemas.openxmlformats.org/officeDocument/2006/relationships/hyperlink" Target="https://www.sec.gov/Archives/edgar/data/1964946/000149315223032000/ex14-1.htm" TargetMode="External"/><Relationship Id="rId38" Type="http://schemas.openxmlformats.org/officeDocument/2006/relationships/hyperlink" Target="https://www.sec.gov/Archives/edgar/data/1964946/000149315223032000/ex21-1.htm" TargetMode="External"/><Relationship Id="rId39" Type="http://schemas.openxmlformats.org/officeDocument/2006/relationships/hyperlink" Target="https://www.sec.gov/Archives/edgar/data/1964946/000149315223032000/formf-1.htm#poa_001" TargetMode="External"/><Relationship Id="rId40" Type="http://schemas.openxmlformats.org/officeDocument/2006/relationships/hyperlink" Target="https://www.sec.gov/Archives/edgar/data/1964946/000149315223032000/ex99-2.htm" TargetMode="External"/><Relationship Id="rId41" Type="http://schemas.openxmlformats.org/officeDocument/2006/relationships/hyperlink" Target="https://www.sec.gov/Archives/edgar/data/1964946/000149315224040912/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2024-12-13T11:58:41Z</dcterms:created>
  <dcterms:modified xsi:type="dcterms:W3CDTF">2024-12-13T11:58:41Z</dcterms:modified>
</cp:coreProperties>
</file>