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001-42442</w:t>
      </w:r>
    </w:p>
    <w:p>
      <w:pPr>
        <w:spacing w:after="0" w:line="200"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32"/>
          <w:szCs w:val="32"/>
          <w:b w:val="1"/>
          <w:bCs w:val="1"/>
          <w:color w:val="auto"/>
        </w:rPr>
        <w:t>YOUXIN TECHNOLOGY LTD</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Room 1005, 1006, 1007, No. 122 Huangpu Avenue West,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Tianhe District, Guangzhou, Guangdong Province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Tel: +86 13631357745</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report is incorporated by reference in our registration statement on S-8 (No. 333-292326), and shall be deemed to be a part thereof from the date on which this report is furnished to the SEC, to the extent not superseded by documents or reports subsequently filed or furnished.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previously disclosed, on September 22, 2025, the Company entered into a definitive agreement with Celnet Technology Co., Ltd. (“Celnet”), a provider of information integration and management solutions for businesses and the largest Salesforce.com partner in China, to acquire 51% of the equity interests in Celnet (the “Acquisition”).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29, 2025, the Company closed the Acquisition.</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audited financial statements of the Celnet as of and for the years ended September 30, 2025 and 2024, are filed as Exhibit 99.1 to this Form 6-K,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September 30, 2025, giving effect to the Acquisition and prepared in accordance with Article 11 of Regulation S-X, which presents the combination of the financial information of the Company. and its consolidated, is filed with this Form 6-K as Exhibit 99.2 and incorporated herein by reference.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unaudited pro forma condensed combined and consolidated financial statements are for informational purposes only. They do not purport to indicate the results that would have been obtained had the Acquisition actually been completed on the assumed date or for the period presented. The pro forma adjustments are based on the information currently available and the assumptions and estimates underlying the pro forma adjustments are described in the accompanying notes. Actual results may differ materially from the assumptions within the accompanying unaudited pro forma condensed combined and consolidated financial information.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8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14"/>
                <w:szCs w:val="14"/>
                <w:color w:val="auto"/>
              </w:rPr>
            </w:pPr>
          </w:p>
        </w:tc>
        <w:tc>
          <w:tcPr>
            <w:tcW w:w="1020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Consent of Marcum Asia CPAs LLP</w:t>
            </w: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00" w:type="dxa"/>
            <w:vAlign w:val="bottom"/>
          </w:tcPr>
          <w:p>
            <w:pPr>
              <w:spacing w:after="0"/>
              <w:rPr>
                <w:sz w:val="17"/>
                <w:szCs w:val="17"/>
                <w:color w:val="auto"/>
              </w:rPr>
            </w:pPr>
          </w:p>
        </w:tc>
        <w:tc>
          <w:tcPr>
            <w:tcW w:w="102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Consolidated financial statements of Celnet Technology Co., Ltd. as of and for the years ended September 30, 2025 and 2024</w:t>
            </w: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17"/>
                <w:szCs w:val="17"/>
                <w:color w:val="auto"/>
              </w:rPr>
            </w:pPr>
          </w:p>
        </w:tc>
        <w:tc>
          <w:tcPr>
            <w:tcW w:w="90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Unaudited pro forma condensed combined statement of operations for the year ended September 30, 2025</w:t>
            </w:r>
          </w:p>
        </w:tc>
        <w:tc>
          <w:tcPr>
            <w:tcW w:w="1180" w:type="dxa"/>
            <w:vAlign w:val="bottom"/>
          </w:tcPr>
          <w:p>
            <w:pPr>
              <w:spacing w:after="0"/>
              <w:rPr>
                <w:sz w:val="17"/>
                <w:szCs w:val="17"/>
                <w:color w:val="auto"/>
              </w:rPr>
            </w:pPr>
          </w:p>
        </w:tc>
      </w:tr>
      <w:tr>
        <w:trPr>
          <w:trHeight w:val="453"/>
        </w:trPr>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20" w:type="dxa"/>
            <w:vAlign w:val="bottom"/>
            <w:tcBorders>
              <w:top w:val="single" w:sz="8" w:color="0000EE"/>
              <w:bottom w:val="single" w:sz="8" w:color="auto"/>
            </w:tcBorders>
          </w:tcPr>
          <w:p>
            <w:pPr>
              <w:spacing w:after="0"/>
              <w:rPr>
                <w:sz w:val="24"/>
                <w:szCs w:val="24"/>
                <w:color w:val="auto"/>
              </w:rPr>
            </w:pPr>
          </w:p>
        </w:tc>
        <w:tc>
          <w:tcPr>
            <w:tcW w:w="5000" w:type="dxa"/>
            <w:vAlign w:val="bottom"/>
            <w:tcBorders>
              <w:top w:val="single" w:sz="8" w:color="0000EE"/>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Youxin Technology Ltd</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On April 21, 2026</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Shaozhang Lin</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Mr. Shaozhang Lin</w:t>
            </w:r>
          </w:p>
        </w:tc>
      </w:tr>
      <w:tr>
        <w:trPr>
          <w:trHeight w:val="234"/>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156845</wp:posOffset>
            </wp:positionV>
            <wp:extent cx="1962785"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278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January 28, 2026 relating to the financial statements appearing in the Annual Report on Form 20-F of Youxin Technology Ltd for the year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2005965" cy="179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059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ectPr>
          <w:pgSz w:w="11900" w:h="16838" w:orient="portrait"/>
          <w:cols w:equalWidth="0" w:num="1">
            <w:col w:w="11240"/>
          </w:cols>
          <w:pgMar w:left="320" w:top="333" w:right="33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437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(PCAOB ID: 2729)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CONSOLIDATED BALANCE SHEETS AS OF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u w:val="single" w:color="auto"/>
          <w:color w:val="0000EE"/>
        </w:rPr>
        <w:t>CONSOLIDATED STATEMENTS OF OPERATIONS AND COMPREHENSIVE INCOME (LOSS) FOR THE YEARS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0000EE"/>
        </w:rPr>
        <w:t>CONSOLIDATED STATEMENTS OF CHANGES IN SHAREHOLDERS’ DEFICIT FOR THE YEARS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right="1360"/>
        <w:spacing w:after="0" w:line="532" w:lineRule="auto"/>
        <w:rPr>
          <w:sz w:val="20"/>
          <w:szCs w:val="20"/>
          <w:color w:val="auto"/>
        </w:rPr>
      </w:pPr>
      <w:r>
        <w:rPr>
          <w:rFonts w:ascii="Times New Roman" w:cs="Times New Roman" w:eastAsia="Times New Roman" w:hAnsi="Times New Roman"/>
          <w:sz w:val="18"/>
          <w:szCs w:val="18"/>
          <w:u w:val="single" w:color="auto"/>
          <w:color w:val="0000EE"/>
        </w:rPr>
        <w:t>CONSOLIDATED STATEMENTS OF CASH FLOWS FOR THE YEARS ENDED SEPTEMBER 30, 2025 AND 2024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6172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F-2</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F-3</w:t>
      </w:r>
    </w:p>
    <w:p>
      <w:pPr>
        <w:spacing w:after="0" w:line="3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F-4</w:t>
      </w: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F-5</w:t>
      </w:r>
    </w:p>
    <w:p>
      <w:pPr>
        <w:spacing w:after="0" w:line="3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F-7 – F-24</w:t>
      </w:r>
    </w:p>
    <w:p>
      <w:pPr>
        <w:sectPr>
          <w:pgSz w:w="11900" w:h="16838" w:orient="portrait"/>
          <w:cols w:equalWidth="0" w:num="2">
            <w:col w:w="10060" w:space="300"/>
            <w:col w:w="880"/>
          </w:cols>
          <w:pgMar w:left="320" w:top="333" w:right="339" w:bottom="1440" w:gutter="0" w:footer="0" w:header="0"/>
          <w:type w:val="continuous"/>
        </w:sectPr>
      </w:pPr>
    </w:p>
    <w:bookmarkStart w:id="5" w:name="page6"/>
    <w:bookmarkEnd w:id="5"/>
    <w:p>
      <w:pPr>
        <w:ind w:left="2720"/>
        <w:spacing w:after="0"/>
        <w:rPr>
          <w:sz w:val="20"/>
          <w:szCs w:val="20"/>
          <w:color w:val="auto"/>
        </w:rPr>
      </w:pPr>
      <w:r>
        <w:rPr>
          <w:rFonts w:ascii="Times New Roman" w:cs="Times New Roman" w:eastAsia="Times New Roman" w:hAnsi="Times New Roman"/>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Celnet Technology Co.,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Celnet Technology Co., Ltd. and its subsidiaries (collectively, the “Company”) as of September 30, 2025 and 2024, and the related consolidated statements of operations and comprehensive income (loss) , changes in stockholders’ deficit, and cash flows for each of the two years in the period ended September 30, 2025, and the related notes (collectively referred to as the “consolidated financial statements”). In our opinion, the consolidated financial statements present fairly, in all material respects, the financial position of the Company as of September 30, 2025 and 2024, and the results of its operations and its cash flows for each of the two years in the period ended September 30,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GGF CPA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NO: 2729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21,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Contract assets</w:t>
      </w:r>
    </w:p>
    <w:p>
      <w:pPr>
        <w:spacing w:after="0" w:line="9" w:lineRule="exact"/>
        <w:rPr>
          <w:sz w:val="20"/>
          <w:szCs w:val="20"/>
          <w:color w:val="auto"/>
        </w:rPr>
      </w:pPr>
    </w:p>
    <w:p>
      <w:pPr>
        <w:ind w:left="180"/>
        <w:spacing w:after="0" w:line="292" w:lineRule="auto"/>
        <w:rPr>
          <w:sz w:val="20"/>
          <w:szCs w:val="20"/>
          <w:color w:val="auto"/>
        </w:rPr>
      </w:pPr>
      <w:r>
        <w:rPr>
          <w:rFonts w:ascii="Times New Roman" w:cs="Times New Roman" w:eastAsia="Times New Roman" w:hAnsi="Times New Roman"/>
          <w:sz w:val="18"/>
          <w:szCs w:val="18"/>
          <w:color w:val="auto"/>
        </w:rPr>
        <w:t xml:space="preserve">Prepaid expenses and other current assets </w:t>
      </w:r>
      <w:r>
        <w:rPr>
          <w:rFonts w:ascii="Times New Roman" w:cs="Times New Roman" w:eastAsia="Times New Roman" w:hAnsi="Times New Roman"/>
          <w:sz w:val="18"/>
          <w:szCs w:val="18"/>
          <w:b w:val="1"/>
          <w:bCs w:val="1"/>
          <w:color w:val="auto"/>
        </w:rPr>
        <w:t>Total current assets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tax assets, net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center"/>
        <w:ind w:right="3400"/>
        <w:spacing w:after="0" w:line="268" w:lineRule="auto"/>
        <w:rPr>
          <w:sz w:val="20"/>
          <w:szCs w:val="20"/>
          <w:color w:val="auto"/>
        </w:rPr>
      </w:pPr>
      <w:r>
        <w:rPr>
          <w:rFonts w:ascii="Times New Roman" w:cs="Times New Roman" w:eastAsia="Times New Roman" w:hAnsi="Times New Roman"/>
          <w:sz w:val="18"/>
          <w:szCs w:val="18"/>
          <w:b w:val="1"/>
          <w:bCs w:val="1"/>
          <w:color w:val="auto"/>
        </w:rPr>
        <w:t>CELNET TECHNOLOGY CO., LTD. CONSOLIDATED BALANCE SHEETS (In U.S. dollars, except for share data, or otherwise noted)</w:t>
      </w:r>
    </w:p>
    <w:p>
      <w:pPr>
        <w:spacing w:after="0" w:line="18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As of September 30,</w:t>
      </w:r>
    </w:p>
    <w:p>
      <w:pPr>
        <w:spacing w:after="0" w:line="31" w:lineRule="exact"/>
        <w:rPr>
          <w:sz w:val="20"/>
          <w:szCs w:val="20"/>
          <w:color w:val="auto"/>
        </w:rPr>
      </w:pPr>
    </w:p>
    <w:tbl>
      <w:tblPr>
        <w:tblLayout w:type="fixed"/>
        <w:tblInd w:w="35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623"/>
        </w:trPr>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168,909</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42,265</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550,947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492,614</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260,305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158,356</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28,180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36,520</w:t>
            </w:r>
          </w:p>
        </w:tc>
      </w:tr>
      <w:tr>
        <w:trPr>
          <w:trHeight w:val="232"/>
        </w:trPr>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1,008,341</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729,755</w:t>
            </w:r>
          </w:p>
        </w:tc>
      </w:tr>
      <w:tr>
        <w:trPr>
          <w:trHeight w:val="607"/>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5,545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378,002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415,940</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110,967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17,550</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8,013</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93,475</w:t>
            </w:r>
          </w:p>
        </w:tc>
      </w:tr>
      <w:tr>
        <w:trPr>
          <w:trHeight w:val="232"/>
        </w:trPr>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502,527</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533,073</w:t>
            </w:r>
          </w:p>
        </w:tc>
      </w:tr>
      <w:tr>
        <w:trPr>
          <w:trHeight w:val="207"/>
        </w:trPr>
        <w:tc>
          <w:tcPr>
            <w:tcW w:w="440" w:type="dxa"/>
            <w:vAlign w:val="bottom"/>
            <w:gridSpan w:val="2"/>
          </w:tcPr>
          <w:p>
            <w:pPr>
              <w:spacing w:after="0"/>
              <w:rPr>
                <w:sz w:val="18"/>
                <w:szCs w:val="18"/>
                <w:color w:val="auto"/>
              </w:rPr>
            </w:pPr>
          </w:p>
        </w:tc>
        <w:tc>
          <w:tcPr>
            <w:tcW w:w="180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14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1,510,868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1,262,828</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-2287905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-2005330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-1731010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-1448435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-1165225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-890905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-616585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-325120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180" w:space="220"/>
            <w:col w:w="7840"/>
          </w:cols>
          <w:pgMar w:left="320" w:top="684"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6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loans</w:t>
            </w:r>
          </w:p>
        </w:tc>
        <w:tc>
          <w:tcPr>
            <w:tcW w:w="7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309,032</w:t>
            </w:r>
          </w:p>
        </w:tc>
        <w:tc>
          <w:tcPr>
            <w:tcW w:w="7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370,497</w:t>
            </w: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loans - current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120,949</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26,279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47,767</w:t>
            </w: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65,893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53,264</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108,417</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171,926</w:t>
            </w: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Payroll payable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741,074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760,151</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463,917</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422,688</w:t>
            </w:r>
          </w:p>
        </w:tc>
      </w:tr>
      <w:tr>
        <w:trPr>
          <w:trHeight w:val="23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52,098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9,113</w:t>
            </w: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1,766,710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1,956,355</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liability:</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loans – non-current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68,830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53,502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7,068</w:t>
            </w: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122,332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8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1,889,042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1,963,423</w:t>
            </w:r>
          </w:p>
        </w:tc>
        <w:tc>
          <w:tcPr>
            <w:tcW w:w="100" w:type="dxa"/>
            <w:vAlign w:val="bottom"/>
            <w:shd w:val="clear" w:color="auto" w:fill="CCEEFF"/>
          </w:tcPr>
          <w:p>
            <w:pPr>
              <w:spacing w:after="0"/>
              <w:rPr>
                <w:sz w:val="18"/>
                <w:szCs w:val="18"/>
                <w:color w:val="auto"/>
              </w:rPr>
            </w:pPr>
          </w:p>
        </w:tc>
      </w:tr>
      <w:tr>
        <w:trPr>
          <w:trHeight w:val="210"/>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8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Contributed capital (Ordinary shares, par value of US$0.15 (RMB1) per share; 10,268,000</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10,268,000 shares authorized, issued and paid as of September 30, 2025 and 2024,</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1,553,439</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1,553,439</w:t>
            </w: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33,766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33,766</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(1,814,401)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(2,123,622)</w:t>
            </w:r>
          </w:p>
        </w:tc>
      </w:tr>
      <w:tr>
        <w:trPr>
          <w:trHeight w:val="23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(150,978)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(164,178)</w:t>
            </w:r>
          </w:p>
        </w:tc>
      </w:tr>
      <w:tr>
        <w:trPr>
          <w:trHeight w:val="209"/>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(378,174</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(700,595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1,510,868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1,262,828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data, or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For the Years Ended September 30,</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2,829,958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2,096,199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(1,611,865)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(1,336,122)</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1,218,093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760,077</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expenses</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(294,799)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(447,617)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(462,473)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(457,629)</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(56,464)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(19,555)</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(813,736)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(924,801)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404,357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(164,724)</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(15,536)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(42,789)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7,447</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(4,656)</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(12,096)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392,261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(204,722)</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 / benefits</w:t>
            </w:r>
          </w:p>
        </w:tc>
        <w:tc>
          <w:tcPr>
            <w:tcW w:w="1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(83,040)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309,221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(204,250)</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(29,954)</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9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322,421</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(234,204)</w:t>
            </w:r>
          </w:p>
        </w:tc>
        <w:tc>
          <w:tcPr>
            <w:tcW w:w="0" w:type="dxa"/>
            <w:vAlign w:val="bottom"/>
          </w:tcPr>
          <w:p>
            <w:pPr>
              <w:spacing w:after="0"/>
              <w:rPr>
                <w:sz w:val="1"/>
                <w:szCs w:val="1"/>
                <w:color w:val="auto"/>
              </w:rPr>
            </w:pPr>
          </w:p>
        </w:tc>
      </w:tr>
      <w:tr>
        <w:trPr>
          <w:trHeight w:val="197"/>
        </w:trPr>
        <w:tc>
          <w:tcPr>
            <w:tcW w:w="54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9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w:t>
            </w:r>
          </w:p>
        </w:tc>
        <w:tc>
          <w:tcPr>
            <w:tcW w:w="1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10,268,000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9,886,683</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data, or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234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vMerge w:val="restart"/>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560" w:type="dxa"/>
            <w:vAlign w:val="bottom"/>
            <w:gridSpan w:val="4"/>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0"/>
                <w:szCs w:val="20"/>
                <w:color w:val="auto"/>
              </w:rPr>
            </w:pPr>
          </w:p>
        </w:tc>
        <w:tc>
          <w:tcPr>
            <w:tcW w:w="10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8,762,000</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$ 1,342,496</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33,766</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(1,919,372)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(134,224)</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(677,334)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(204,250)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(204,250)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1,506,000</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210,943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(29,954)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(29,954)</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10,268,000</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1,553,439</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33,766</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(2,123,622)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(164,178)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(700,595)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13,200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13,200</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10,268,000</w:t>
            </w:r>
          </w:p>
        </w:tc>
        <w:tc>
          <w:tcPr>
            <w:tcW w:w="3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$ 1,553,439</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33,766</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(1,814,401</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(150,978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(378,174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data, or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September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48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309,221</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(204,250)</w:t>
            </w: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47,595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44,436</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31,417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3,223</w:t>
            </w: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operating right-of-use assets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51,762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998</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Disposal loss of property and equipment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w:t>
            </w: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expense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83,040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(98,220)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27,670</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(102,854)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60,060</w:t>
            </w: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10,152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1,834</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(20,538)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(4,444)</w:t>
            </w: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13,342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39,041</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(60,269)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10,026</w:t>
            </w: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Payroll payable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(8,143)</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207,357</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(56,677)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(2,264)</w:t>
            </w:r>
          </w:p>
        </w:tc>
      </w:tr>
      <w:tr>
        <w:trPr>
          <w:trHeight w:val="210"/>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6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200,132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184,293</w:t>
            </w:r>
          </w:p>
        </w:tc>
        <w:tc>
          <w:tcPr>
            <w:tcW w:w="100" w:type="dxa"/>
            <w:vAlign w:val="bottom"/>
            <w:tcBorders>
              <w:bottom w:val="single" w:sz="8" w:color="CCEEFF"/>
            </w:tcBorders>
          </w:tcPr>
          <w:p>
            <w:pPr>
              <w:spacing w:after="0"/>
              <w:rPr>
                <w:sz w:val="18"/>
                <w:szCs w:val="18"/>
                <w:color w:val="auto"/>
              </w:rPr>
            </w:pPr>
          </w:p>
        </w:tc>
      </w:tr>
      <w:tr>
        <w:trPr>
          <w:trHeight w:val="209"/>
        </w:trPr>
        <w:tc>
          <w:tcPr>
            <w:tcW w:w="6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ACTIVITY:</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(3,273)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(2,211)</w:t>
            </w: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(12,558)</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(129,870)</w:t>
            </w:r>
          </w:p>
        </w:tc>
      </w:tr>
      <w:tr>
        <w:trPr>
          <w:trHeight w:val="209"/>
        </w:trPr>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activity</w:t>
            </w: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(132,081)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from related parties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345,548</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742,022</w:t>
            </w: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to related parties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(302,536)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(781,117)</w:t>
            </w: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contribution from shareholders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210,943</w:t>
            </w: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 from short-term loans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305,026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475,034</w:t>
            </w: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short-term loans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(360,485)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(517,708)</w:t>
            </w: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 from long-term loans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67,938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long-term loans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(117,681)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(190,054)</w:t>
            </w: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(62,190)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4,533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(1,215)</w:t>
            </w:r>
          </w:p>
        </w:tc>
      </w:tr>
      <w:tr>
        <w:trPr>
          <w:trHeight w:val="210"/>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126,644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(9,883)</w:t>
            </w:r>
          </w:p>
        </w:tc>
      </w:tr>
      <w:tr>
        <w:trPr>
          <w:trHeight w:val="216"/>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year</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42,265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52,148</w:t>
            </w:r>
          </w:p>
        </w:tc>
      </w:tr>
      <w:tr>
        <w:trPr>
          <w:trHeight w:val="249"/>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260" w:type="dxa"/>
            <w:vAlign w:val="bottom"/>
            <w:tcBorders>
              <w:bottom w:val="single" w:sz="8" w:color="CCEEFF"/>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168,909</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42,265</w:t>
            </w:r>
          </w:p>
        </w:tc>
        <w:tc>
          <w:tcPr>
            <w:tcW w:w="100" w:type="dxa"/>
            <w:vAlign w:val="bottom"/>
            <w:tcBorders>
              <w:bottom w:val="single" w:sz="8" w:color="CCEEFF"/>
            </w:tcBorders>
          </w:tcPr>
          <w:p>
            <w:pPr>
              <w:spacing w:after="0"/>
              <w:rPr>
                <w:sz w:val="21"/>
                <w:szCs w:val="21"/>
                <w:color w:val="auto"/>
              </w:rPr>
            </w:pPr>
          </w:p>
        </w:tc>
      </w:tr>
      <w:tr>
        <w:trPr>
          <w:trHeight w:val="197"/>
        </w:trPr>
        <w:tc>
          <w:tcPr>
            <w:tcW w:w="6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148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6,599</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48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16,942</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42,789</w:t>
            </w:r>
          </w:p>
        </w:tc>
      </w:tr>
      <w:tr>
        <w:trPr>
          <w:trHeight w:val="216"/>
        </w:trPr>
        <w:tc>
          <w:tcPr>
            <w:tcW w:w="6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ITEM</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arising from obtaining right-of-use asset</w:t>
            </w:r>
          </w:p>
        </w:tc>
        <w:tc>
          <w:tcPr>
            <w:tcW w:w="148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141,789</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18,026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203"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Organization</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Celnet Technology Co., Ltd. (the “Company” or “Celnet BJ”) was incorporated under the laws of the People’s Republic of China on April 19, 2012. The Company is principally engaged in providing customer relationship management (CRM) system consulting, implementation, and development services through cloud computing solutions.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Hong Kong Celnet Technology Co., Limited (“Celnet HK”), which is 100% owned by the Company, was incorporated in Hong Kong on July 12, 2016.</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Celnet HK is principally engaged in software development, technology consulting, and cross-border business operations.</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Celnet BJ and Celnet HK are collectively referred to as the “Group”, is a leading provider of enterprise digital transformation solutions, specializing in CRM and cloud-based information systems. The Group empowers enterprises to connect seamlessly with their customers, partners, and employees by integrating internal CRM with social networks, having served over 500 enterprise clients across China.</w:t>
      </w:r>
    </w:p>
    <w:p>
      <w:pPr>
        <w:spacing w:after="0" w:line="172"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and applicable rules and regulations of the United States Securities and Exchange Commission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Principles of consolidation</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subsidiary. All inter-company transactions and balances among the Company and its subsidiary have been eliminated upon consolidation. A subsidiary is an entity in which (i) the Company directly or indirectly controls more than 50% of the voting power; or (ii) the Company has the power to appoint or remove the majority of the members of the board of directors or to cast a majority of votes at the meetings of the board of directors or to govern the financial and operating policies of the investee pursuant to a statute or under an agreement among the shareholders or equity 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management to make estimates and assumptions that affect the reported amounts of assets and liabilities, revenues, costs and expenses, and related disclosures. On the going concern basis, management evaluates its estimates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Significant estimates required to be made by management, include, but are not limited to, revenue recognition, the allowance for credit losses, the useful lives of property and equipment and intangible assets, the impairment for long lived assets and the valuation of deferred tax assets. Actual results may differ from those estimates under different assumptions or conditions.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20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Going Concern</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had an accumulated deficit of approximately $1.8 million and $2.2 million as of September 30, 2025 and 2024, respectively. The Company also had working capital deficit of approximately $0.7 million and $1.2 million, as of September 30, 2025 and 2024, respectively. The Company had net income approximately of $0.4 million and net loss of approximately $0.2 million for the years ended September 30, 2025 and 2024, respectively.</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has approximately $0.2 million of unrestricted cash. In addition, the Company will need to maintain its operating costs at a level through strict cost control and budget to ensure operating costs are minimized and will not exceed such aforementioned sources of funds and obtain bank loans to continue as a going concern for a period within 12 months after the issuance of its consolidated financial statements.</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Company believes that available cash, together with the efforts from aforementioned management plan and actions will be sufficient to support its continuous operations and to meet its payment obligations when liabilities fall due within the next twelve months from the date of issuance of these consolidated financial statements. As a result, no substantial doubt about the Company’s ability to continue as a going concern existed as of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Foreign currency translation and transaction</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Group uses U.S. dollars (“US$”) as its reporting currency. The functional currency of the Company is Chinese Yuan (“RMB”), while the functional currency of Celnet HK is Hong Kong Dollar (“HKD”), as determined based on the criteria of ASC 830, “Foreign Currency Matters”. An entity’s functional currency is the currency of the primary economic environment in which it operates; normally, that is the currency of the environment in which the entity primarily generates and expends cash. Management’s judgment is essential to determine the functional currency by assessing various indicators, such as cash flows, sales price and market, expenses, financing and inter-company transactions and arrangements.</w:t>
      </w:r>
    </w:p>
    <w:p>
      <w:pPr>
        <w:spacing w:after="0" w:line="183"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consolidated statements of operations and comprehensive income (loss) and the consolidated statements of cash flows denominated in foreign currency are translated at the average rate of exchange during the reporting period. Assets and liabilities denominated in foreign currencies at the balance sheet date are translated at the applicable rates of exchange in effect at that date. The equity denominated in the functional currency is translated at the historical rate of exchange at the time of capital contribution. Because cash flows are translated based on the average translation rate,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loss included in consolidated statements of changes in shareholders’ deficit. Gains and losses from foreign currency transactions are included in the consolidated statements of operations and comprehensive income (loss).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outlines the currency exchange rates that were used in creating the consolidated financial statements: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Borders>
              <w:bottom w:val="single" w:sz="8" w:color="auto"/>
            </w:tcBorders>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As of September 30,</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sheet items, except for equity accounts</w:t>
            </w:r>
          </w:p>
        </w:tc>
        <w:tc>
          <w:tcPr>
            <w:tcW w:w="18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against RMB</w:t>
            </w:r>
          </w:p>
        </w:tc>
        <w:tc>
          <w:tcPr>
            <w:tcW w:w="2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7.1190</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against HKD</w:t>
            </w: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7.7809</w:t>
            </w:r>
          </w:p>
        </w:tc>
        <w:tc>
          <w:tcPr>
            <w:tcW w:w="66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7.7693</w:t>
            </w:r>
          </w:p>
        </w:tc>
        <w:tc>
          <w:tcPr>
            <w:tcW w:w="0" w:type="dxa"/>
            <w:vAlign w:val="bottom"/>
          </w:tcPr>
          <w:p>
            <w:pPr>
              <w:spacing w:after="0"/>
              <w:rPr>
                <w:sz w:val="1"/>
                <w:szCs w:val="1"/>
                <w:color w:val="auto"/>
              </w:rPr>
            </w:pPr>
          </w:p>
        </w:tc>
      </w:tr>
      <w:tr>
        <w:trPr>
          <w:trHeight w:val="427"/>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Items in the statements of operations and comprehensive income (loss), and</w:t>
            </w:r>
          </w:p>
        </w:tc>
        <w:tc>
          <w:tcPr>
            <w:tcW w:w="40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years ended September 30,</w:t>
            </w:r>
          </w:p>
        </w:tc>
        <w:tc>
          <w:tcPr>
            <w:tcW w:w="0" w:type="dxa"/>
            <w:vAlign w:val="bottom"/>
          </w:tcPr>
          <w:p>
            <w:pPr>
              <w:spacing w:after="0"/>
              <w:rPr>
                <w:sz w:val="1"/>
                <w:szCs w:val="1"/>
                <w:color w:val="auto"/>
              </w:rPr>
            </w:pPr>
          </w:p>
        </w:tc>
      </w:tr>
      <w:tr>
        <w:trPr>
          <w:trHeight w:val="174"/>
        </w:trPr>
        <w:tc>
          <w:tcPr>
            <w:tcW w:w="6680" w:type="dxa"/>
            <w:vAlign w:val="bottom"/>
            <w:gridSpan w:val="2"/>
            <w:vMerge w:val="continue"/>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18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against RMB</w:t>
            </w:r>
          </w:p>
        </w:tc>
        <w:tc>
          <w:tcPr>
            <w:tcW w:w="2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7.2125</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against HKD</w:t>
            </w: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7.7948</w:t>
            </w:r>
          </w:p>
        </w:tc>
        <w:tc>
          <w:tcPr>
            <w:tcW w:w="66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7.8127</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Fair value measurement</w:t>
      </w:r>
    </w:p>
    <w:p>
      <w:pPr>
        <w:spacing w:after="0" w:line="229" w:lineRule="exact"/>
        <w:rPr>
          <w:sz w:val="20"/>
          <w:szCs w:val="20"/>
          <w:color w:val="auto"/>
        </w:rPr>
      </w:pPr>
    </w:p>
    <w:p>
      <w:pPr>
        <w:jc w:val="both"/>
        <w:ind w:left="340" w:right="20"/>
        <w:spacing w:after="0" w:line="289"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the fair value hierarchy are described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203"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to the valuation methodology are quoted prices (unadjusted) for identical assets or liabilities in active markets.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to the valuation methodology include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to the valuation methodology are unobservable and significant to the fair value. Unobservable inputs are valuation technique inputs that may reflect the Group’s own assumptions that cannot be corroborated with observable market data.</w:t>
      </w:r>
    </w:p>
    <w:p>
      <w:pPr>
        <w:spacing w:after="0" w:line="181" w:lineRule="exact"/>
        <w:rPr>
          <w:sz w:val="20"/>
          <w:szCs w:val="20"/>
          <w:color w:val="auto"/>
        </w:rPr>
      </w:pPr>
    </w:p>
    <w:p>
      <w:pPr>
        <w:jc w:val="both"/>
        <w:ind w:left="340" w:hanging="7"/>
        <w:spacing w:after="0" w:line="261" w:lineRule="auto"/>
        <w:rPr>
          <w:sz w:val="20"/>
          <w:szCs w:val="20"/>
          <w:color w:val="auto"/>
        </w:rPr>
      </w:pPr>
      <w:r>
        <w:rPr>
          <w:rFonts w:ascii="Times New Roman" w:cs="Times New Roman" w:eastAsia="Times New Roman" w:hAnsi="Times New Roman"/>
          <w:sz w:val="18"/>
          <w:szCs w:val="18"/>
          <w:color w:val="auto"/>
        </w:rPr>
        <w:t>Financial instruments of the Group primarily consist of cash and cash equivalents, accounts receivable, contract assets, short-term loan, accounts payable, amount due to related parties. The carrying amounts of these financial instruments approximate fair value due to the short-term maturity of those instruments. The valuation is based on settlements of similar financial instruments, all of which are short-term in nature and are generally settled at or near cost.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Group’s non-financial assets, such as property and equipment, would be measured at fair value only if they were determined to be impaired.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Cash and cash equivalents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on hand, the Group’s demand deposits placed with financial institutions, which have original maturities of less than three months and unrestricted as to withdrawal and use.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Accounts receivable, net</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Accounts receivable include trade accounts due from clients. The credit terms given to customers are generally 90 days. Management reviews its receivables on a regular basis to determine if the provision for credit loss is adequate, and makes provision when necessary. Accounts receivable is considered past due based on its contractual terms. In establishing the allowance, management uses an aging schedule method to estimate the amount of the allowance for credit losses. The management also considers historical losses, the financial condition, the payment patterns and the forecasted information in pooling basis upon the use of the Current Expected Credit Loss Model (“CECL Model”) in accordance with ASC Topic 326, Financial Instruments - Credit Losses. Account balances are charged off against the provision after all means of collection have been exhausted and the likelihood of collection is remote.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Property and equipment, net</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if any. Depreciation is provided over the estimated useful lives of the assets using the straight-line method from the time the assets are placed in service, after considering the estimated residual value which is 5% of costs. The estimated useful lives are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203"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9040" w:type="dxa"/>
            <w:vAlign w:val="bottom"/>
            <w:gridSpan w:val="2"/>
          </w:tcPr>
          <w:p>
            <w:pPr>
              <w:ind w:left="400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 useful lives</w:t>
            </w:r>
          </w:p>
        </w:tc>
      </w:tr>
      <w:tr>
        <w:trPr>
          <w:trHeight w:val="210"/>
        </w:trPr>
        <w:tc>
          <w:tcPr>
            <w:tcW w:w="8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w:t>
            </w:r>
          </w:p>
        </w:tc>
        <w:tc>
          <w:tcPr>
            <w:tcW w:w="3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3 years</w:t>
            </w:r>
          </w:p>
        </w:tc>
      </w:tr>
    </w:tbl>
    <w:p>
      <w:pPr>
        <w:spacing w:after="0" w:line="17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cost represents the purchase price of the asset and other costs incurred to bring the asset into its existing use. Expenditures for maintenance and repairs are charged to earnings as incurred, while major additions and enhancements are capitalized. When assets are retired or disposed of, the cost and accumulated depreciation are removed from the accounts, and any resulting gains or losses are included in income/loss in the year of disposition. The Group examines the possibility of decreases in the value of its property and equipment when events or changes in circumstances reflect the fact that their recorded value may not be recoverable. The Group also re-evaluates the periods of depreciation to determine whether subsequent events and circumstances warrant revised estimates of useful lives.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Impairment of long-lived assets</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Group reviews its long-lived assets for impairment whenever events or changes in circumstances (such as a significant adverse change to market conditions that will impact the future use of the assets) indicate that the carrying amount of an asset may no longer be recoverable. When these events occur, the Group assesses the recoverability of the assets based on the non-discounted future cash flows generated from the assets and recognizes an impairment loss when estimated discounted future cash flows expected to result from the use of the asset plus net proceeds expected from disposition of the asset, if any, are less than the carrying value of the asset. If an impairment is identified, the Group would reduce the carrying amount of the asset to its estimated fair value based on a discounted cash flows approach or, when available and appropriate, to comparable market values. No impairment was recorded by the Group for the years ended September 30,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Leases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Group adopted ASU No. 2016-02 “Leases” (“ASC 842”) using the modified retrospective approach on October 1, 2022. The Group elected the transition package of practical expedients permitted within the standard, which allowed it not to reassess initial direct costs, lease classification, or whether the contracts contain or are leases for any leases that existed prior to October 1, 2022. The Group also elected the short-term lease exemption for all contracts with an original lease term of 12 months or less.</w:t>
      </w:r>
    </w:p>
    <w:p>
      <w:pPr>
        <w:spacing w:after="0" w:line="180"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Under ASC 842, the Group determines whether an arrangement constitutes a lease and records lease liabilities and right-of-use assets on its consolidated balance sheets at the lease commencement date. The Group measures the operating lease liabilities at the commencement date based on the present value of remaining lease payments over the lease term, which is computed using the Group’s incremental borrowing rate. The interest rate implicit in lease contracts is typically not readily determinable, and therefore, the Group utilize its incremental borrowing rate, which is the rate incurred to borrow on a collateralized basis over a similar term an amount equal to the lease payments in a similar economic environment. The Group measures the operating lease right-of-use assets based on the corresponding lease liability adjusted for payments made to the lessor at or before the commencement date, and initial direct costs it incurs under the lease. The Group begins recognizing operating lease expense based on lease payments on a straight-line basis over the lease term after the lessor makes the underlying asset available to the Group. Some of the Group’s lease contracts include options to extend the leases for an additional period which has to be agreed with the lessors based on mutual negotiation. After considering the factors that create an economic incentive, the Group does not include renewal option periods in the lease term that it is not reasonably certain to exercise.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203"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Revenue recognition</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Group’s revenue is generated from (i) CRM system development and implementation services, (ii) data and workflow migration services, (iii) IT staffing and outsourcing services, (iv) operations and maintenance services, and (v) other services. The Group recognizes revenues as it satisfies performance obligations regarding services to its customers in an amount reflecting the total consideration it expects to receive from the customer.</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Group adopted ASC Topic 606, “Revenue from Contracts with Customers (“ASC 606”)” for recognition. The core principle of the guidance requires an entity to recognize revenue to depict the transfer of promised goods or services to customers in an amount that reflects the consideration to which the entity expects to be entitled in exchange for those goods or services. To achieve that core principle, an entity should apply these five steps: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1: Identify the contract with the customer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Step 5: Recognize revenue when the company satisfies a performance obligation</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Group assesses its revenue arrangements against specific criteria in order to determine if it is acting as principal or agent. Revenue arrangements with multiple performance obligations are divided into separate distinct goods or services. The Group allocates the transaction price to each performance obligation based on the relative standalone selling price of the goods or services provided. Revenue is recorded net of value-added tax.</w:t>
      </w:r>
    </w:p>
    <w:p>
      <w:pPr>
        <w:spacing w:after="0" w:line="176" w:lineRule="exact"/>
        <w:rPr>
          <w:sz w:val="20"/>
          <w:szCs w:val="20"/>
          <w:color w:val="auto"/>
        </w:rPr>
      </w:pPr>
    </w:p>
    <w:p>
      <w:pPr>
        <w:ind w:left="980" w:hanging="648"/>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CRM system development and implementation services</w:t>
      </w:r>
    </w:p>
    <w:p>
      <w:pPr>
        <w:spacing w:after="0" w:line="22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Group provides customized CRM system development and implementation services, which include requirements analysis, solution design, system configuration, custom development, system integration, data migration, testing, and training. These services are integrated into a single performance obligation as the Group provides a significant service of integrating the various tasks into a combined output (a functioning CRM system). The Group recognizes revenue over time using a cost-based input method, as the Group’s performance does not create an asset with an alternative use and the Group has an enforceable right to payment for performance completed to date. Contracts may include a post-implementation warranty period, which is not considered a separate performance obligation. The transaction price is the fixed contract fee, with variable consideration (e.g., penalties) estimated and constrained at contract inception.</w:t>
      </w:r>
    </w:p>
    <w:p>
      <w:pPr>
        <w:spacing w:after="0" w:line="189" w:lineRule="exact"/>
        <w:rPr>
          <w:sz w:val="20"/>
          <w:szCs w:val="20"/>
          <w:color w:val="auto"/>
        </w:rPr>
      </w:pPr>
    </w:p>
    <w:p>
      <w:pPr>
        <w:ind w:left="980" w:hanging="648"/>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workflow migration services</w:t>
      </w:r>
    </w:p>
    <w:p>
      <w:pPr>
        <w:spacing w:after="0" w:line="22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Group provides Salesforce Org migration services, including system diagnostics, solution design, metadata and data migration, integration adjustments, testing, and go-live support. These services are integrated into a single performance obligation as the Group provides a significant service of combining the migration tasks into a successfully migrated system. The Group recognizes revenue over time using a cost-based input method, as the services are customized and the Group has an enforceable right to payment for performance completed to date. Post-migration warranty periods are included as part of the single performance obligation. The transaction price is the fixed contract fee, with no significant variable consideration or financing components.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203"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9" w:lineRule="exact"/>
        <w:rPr>
          <w:rFonts w:ascii="Times New Roman" w:cs="Times New Roman" w:eastAsia="Times New Roman" w:hAnsi="Times New Roman"/>
          <w:sz w:val="18"/>
          <w:szCs w:val="18"/>
          <w:b w:val="1"/>
          <w:bCs w:val="1"/>
          <w:color w:val="auto"/>
        </w:rPr>
      </w:pPr>
    </w:p>
    <w:p>
      <w:pPr>
        <w:ind w:left="980" w:hanging="648"/>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staffing and outsourcing services</w:t>
      </w:r>
    </w:p>
    <w:p>
      <w:pPr>
        <w:spacing w:after="0" w:line="22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Group provides IT staffing services on a time-and-materials basis, where qualified personnel perform development tasks as directed by the customer. The Group’s performance obligation is satisfied over time, as the customer simultaneously receives and consumes the benefits of each unit of service (e.g., person-day) as it is performed. Revenue is recognized as services are rendered, measured by the number of approved person-days or hours worked at the contractually specified daily rates. The transaction price is determined monthly based on actual effort delivered, as these framework agreements do not have a fixed total value at inception. Payment terms are generally monthly in arrears.</w:t>
      </w:r>
    </w:p>
    <w:p>
      <w:pPr>
        <w:spacing w:after="0" w:line="183" w:lineRule="exact"/>
        <w:rPr>
          <w:sz w:val="20"/>
          <w:szCs w:val="20"/>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maintenance services</w:t>
      </w:r>
    </w:p>
    <w:p>
      <w:pPr>
        <w:spacing w:after="0" w:line="22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Group provides ongoing system maintenance and support services, including system monitoring, ticket analysis, user access maintenance, reporting, and other operational support activities. These services represent a stand-ready obligation over a fixed service period, typically one year. The Group recognizes revenue over time, as the customer simultaneously receives and consumes the benefits throughout the contract period. Revenue is recognized on a straight-line basis over the contract term, which best depicts the pattern of transfer of the stand-ready services. The transaction price is the fixed annual fee, and no significant variable consideration exists.</w:t>
      </w:r>
    </w:p>
    <w:p>
      <w:pPr>
        <w:spacing w:after="0" w:line="183" w:lineRule="exact"/>
        <w:rPr>
          <w:sz w:val="20"/>
          <w:szCs w:val="20"/>
          <w:color w:val="auto"/>
        </w:rPr>
      </w:pPr>
    </w:p>
    <w:p>
      <w:pPr>
        <w:ind w:left="980" w:hanging="648"/>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services</w:t>
      </w:r>
    </w:p>
    <w:p>
      <w:pPr>
        <w:spacing w:after="0" w:line="225"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Other services primarily consist of one-off consulting and integration services that are not recurring in nature. Revenue is recognized at a point in time when the service is completed and the customer obtains control of the output, which typically occurs upon delivery or acceptance.</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disaggregates the Group’s revenue for the presented periods:</w:t>
            </w: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6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80" w:type="dxa"/>
            <w:vAlign w:val="bottom"/>
            <w:gridSpan w:val="8"/>
          </w:tcPr>
          <w:p>
            <w:pPr>
              <w:ind w:left="660"/>
              <w:spacing w:after="0"/>
              <w:rPr>
                <w:sz w:val="20"/>
                <w:szCs w:val="20"/>
                <w:color w:val="auto"/>
              </w:rPr>
            </w:pPr>
            <w:r>
              <w:rPr>
                <w:rFonts w:ascii="Times New Roman" w:cs="Times New Roman" w:eastAsia="Times New Roman" w:hAnsi="Times New Roman"/>
                <w:sz w:val="18"/>
                <w:szCs w:val="18"/>
                <w:b w:val="1"/>
                <w:bCs w:val="1"/>
                <w:color w:val="auto"/>
              </w:rPr>
              <w:t>For the years ended September 30,</w:t>
            </w:r>
          </w:p>
        </w:tc>
      </w:tr>
      <w:tr>
        <w:trPr>
          <w:trHeight w:val="223"/>
        </w:trPr>
        <w:tc>
          <w:tcPr>
            <w:tcW w:w="624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CRM system development and implementation</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1,105,483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743,539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Data &amp; Workflow Migration</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293,692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45,832</w:t>
            </w:r>
          </w:p>
        </w:tc>
        <w:tc>
          <w:tcPr>
            <w:tcW w:w="6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 staffing and outsourcing</w:t>
            </w: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1,018,890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962,196</w:t>
            </w:r>
          </w:p>
        </w:tc>
        <w:tc>
          <w:tcPr>
            <w:tcW w:w="6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Maintenance Service</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260,129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217,875</w:t>
            </w:r>
          </w:p>
        </w:tc>
        <w:tc>
          <w:tcPr>
            <w:tcW w:w="60" w:type="dxa"/>
            <w:vAlign w:val="bottom"/>
          </w:tcPr>
          <w:p>
            <w:pPr>
              <w:spacing w:after="0"/>
              <w:rPr>
                <w:sz w:val="18"/>
                <w:szCs w:val="18"/>
                <w:color w:val="auto"/>
              </w:rPr>
            </w:pPr>
          </w:p>
        </w:tc>
      </w:tr>
      <w:tr>
        <w:trPr>
          <w:trHeight w:val="23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151,764</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126,757</w:t>
            </w:r>
          </w:p>
        </w:tc>
        <w:tc>
          <w:tcPr>
            <w:tcW w:w="60" w:type="dxa"/>
            <w:vAlign w:val="bottom"/>
            <w:shd w:val="clear" w:color="auto" w:fill="CCEEFF"/>
          </w:tcPr>
          <w:p>
            <w:pPr>
              <w:spacing w:after="0"/>
              <w:rPr>
                <w:sz w:val="19"/>
                <w:szCs w:val="19"/>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2,829,958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2,096,199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revenue classified by timing of revenue recognition for the presented periods: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080" w:type="dxa"/>
            <w:vAlign w:val="bottom"/>
            <w:gridSpan w:val="6"/>
          </w:tcPr>
          <w:p>
            <w:pPr>
              <w:ind w:left="660"/>
              <w:spacing w:after="0"/>
              <w:rPr>
                <w:sz w:val="20"/>
                <w:szCs w:val="20"/>
                <w:color w:val="auto"/>
              </w:rPr>
            </w:pPr>
            <w:r>
              <w:rPr>
                <w:rFonts w:ascii="Times New Roman" w:cs="Times New Roman" w:eastAsia="Times New Roman" w:hAnsi="Times New Roman"/>
                <w:sz w:val="18"/>
                <w:szCs w:val="18"/>
                <w:b w:val="1"/>
                <w:bCs w:val="1"/>
                <w:color w:val="auto"/>
              </w:rPr>
              <w:t>For the years ended September 30,</w:t>
            </w:r>
          </w:p>
        </w:tc>
        <w:tc>
          <w:tcPr>
            <w:tcW w:w="14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318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3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2,678,194</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1,969,442</w:t>
            </w: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3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151,764</w:t>
            </w:r>
          </w:p>
        </w:tc>
        <w:tc>
          <w:tcPr>
            <w:tcW w:w="40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126,757</w:t>
            </w:r>
          </w:p>
        </w:tc>
        <w:tc>
          <w:tcPr>
            <w:tcW w:w="14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5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2,829,958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2,096,199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2"/>
          </w:tcPr>
          <w:p>
            <w:pPr>
              <w:jc w:val="right"/>
              <w:ind w:right="2233"/>
              <w:spacing w:after="0"/>
              <w:rPr>
                <w:sz w:val="20"/>
                <w:szCs w:val="20"/>
                <w:color w:val="auto"/>
              </w:rPr>
            </w:pPr>
            <w:r>
              <w:rPr>
                <w:rFonts w:ascii="Times New Roman" w:cs="Times New Roman" w:eastAsia="Times New Roman" w:hAnsi="Times New Roman"/>
                <w:sz w:val="18"/>
                <w:szCs w:val="18"/>
                <w:color w:val="auto"/>
              </w:rPr>
              <w:t>F-12</w:t>
            </w: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203"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5"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Group classifies its right to consideration in exchange for goods or services transferred to a customer as either a receivable or a contract asset. A receivable is a right to consideration that is unconditional, as compared to a contract asset, which is a right to consideration that is conditional upon factors other than the passage of time. The Group recognizes accounts receivable in its consolidated balance sheets when it performs a service in advance of receiving consideration and has the unconditional right to receive consideration. A contract asset is recorded when the Group has transferred services to the customer before payment is received or is due, and the Group’s right to consideration is conditional on future performance or other factors in the contract. As of September 30, 2025 and 2024, the Group had contract assets of $260,305 and $158,356, respectively.</w:t>
      </w:r>
    </w:p>
    <w:p>
      <w:pPr>
        <w:spacing w:after="0" w:line="187" w:lineRule="exact"/>
        <w:rPr>
          <w:rFonts w:ascii="Times New Roman" w:cs="Times New Roman" w:eastAsia="Times New Roman" w:hAnsi="Times New Roman"/>
          <w:sz w:val="18"/>
          <w:szCs w:val="18"/>
          <w:b w:val="1"/>
          <w:bCs w:val="1"/>
          <w:i w:val="1"/>
          <w:iCs w:val="1"/>
          <w:color w:val="auto"/>
        </w:rPr>
      </w:pPr>
    </w:p>
    <w:p>
      <w:pPr>
        <w:ind w:left="34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Contract liabilities are recognized if the Group receives consideration prior to satisfying the performance obligations, which include customer advances. Changes in contract liabilities for the presented periods are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September 30,</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liabilities, beginning of the year</w:t>
            </w:r>
          </w:p>
        </w:tc>
        <w:tc>
          <w:tcPr>
            <w:tcW w:w="16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53,264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12,730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Revenue deferred during the year</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410,314</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97,552</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revenue deferred in prior years</w:t>
            </w:r>
          </w:p>
        </w:tc>
        <w:tc>
          <w:tcPr>
            <w:tcW w:w="1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(396,972)</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(58,510)</w:t>
            </w: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(713)</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1,492</w:t>
            </w:r>
          </w:p>
        </w:tc>
      </w:tr>
      <w:tr>
        <w:trPr>
          <w:trHeight w:val="223"/>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liabilities, end of the year</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65,893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Cost of revenues</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Cost of revenue consists of costs directly attributable to the delivery of the Group’s services and is recognized as the related revenue is recognized. Cost of revenue includes (1) labor costs (including salaries, social insurance, and benefits) for employees involved in project delivery, system implementation, migration, and ongoing support services; (2) third-party service fees, including cloud computing infrastructure, software licenses, and data usage fees; (3) rental and related overhead costs allocated to project delivery; and (4) costs of outsourcing to third-party contractors engaged to perform system implementation, migration, and support services for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Selling and marketing expenses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Selling and marketing expenses mainly consist of (i) salaries and other personnel-related costs, (ii) marketing and advertising expenses, and (iii) depreciation and rental expenses related to marketing functions.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General and administrative expenses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mainly consist of (i) salaries and other personnel-related costs, (ii) professional service fees, and (iii) rental and depreciation related to general and administrative functions.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Research and development expenses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Research and development expenses are mainly salary and benefits for in-house software engineers and payments made to outside cloud providers.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203"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Income taxes</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Group accounts for income taxes under ASC 740, “Income Taxes”. The charge for taxation is based on the results for the fiscal year as adjusted for items, which are non-assessable or disallowed. It is calculated using tax rates that have been enacted or substantively enacted by the balance sheet date. Provision for income taxes consists of taxes currently due plus deferred taxes. Current income taxes are provided for in accordance with the laws of the relevant taxing authorities.</w:t>
      </w:r>
    </w:p>
    <w:p>
      <w:pPr>
        <w:spacing w:after="0" w:line="180"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consolidated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18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Group did not accrue any liability, interest or penalties related to uncertain tax positions in its provision for income taxes line of its consolidated statements of operations and comprehensive income (loss) for the years ended September 30, 2025 and 2024. The Group does not expect that its assessment regarding unrecognized tax positions will materially change over the next 12 months. Penalties and interest incurred related to underpayment of income tax are classified as income tax expense in the period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Related party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accounts for related party transactions in accordance with ASC 850, “Related Party Disclosures”.</w:t>
      </w:r>
    </w:p>
    <w:p>
      <w:pPr>
        <w:spacing w:after="0" w:line="225"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Parties, which can be an entity or individual, are considered to be related if they have the ability, directly or indirectly, to control the Group or exercise significant influence over the Group in making financial and operational decisions. Entities are also considered to be related if they are subject to common control or common significant influence.</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Transactions involving related parties cannot be presumed to be carried out on an arm’s-length basis, as the requisite conditions of competitive, free market dealings may not exist. Representations about transactions with related parties, if made, shall not imply that the related party transactions were consummated on terms equivalent to those that prevail in arm’s-length transactions unless such representations can be substantiated.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 Comprehensive income (loss)</w:t>
      </w:r>
    </w:p>
    <w:p>
      <w:pPr>
        <w:spacing w:after="0" w:line="2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Comprehensive income (loss) includes net income (loss) as well as other changes in shareholders’ equity that result from transactions and economic events other than those with shareholders. Other comprehensive income (loss) consists of net income and foreign currency translation adjustments.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203"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 Earnings (Loss) per share</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ordinary shareholders, taking into consideration the deemed dividends to preferred shareholders (if any), by the weighted average number of ordinary shares outstanding during the year using the two-class method. Under the two-class method, net income is allocated between ordinary shares and other participating securities based on their participating rights. Shares issuable for little to no consideration upon the satisfaction of certain conditions are considered as outstanding shares and included in the computation of basic earnings per share as of the date that all necessary conditions have been satisfied. Net income are not allocated to other participating securities if, based on their contractual terms, they are not obligated to share the losses.</w:t>
      </w:r>
    </w:p>
    <w:p>
      <w:pPr>
        <w:spacing w:after="0" w:line="18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shareholders, as adjusted for the effect of dilutive ordinary equivalent shares, if any, by the weighted average number of ordinary and dilutive ordinary equivalent shares outstanding during the year. Ordinary equivalent shares consist of ordinary shares issuable upon the conversion of the preferred shares, using the if-converted method, and shares issuable upon the exercise of share options using the treasury stock method. Ordinary equivalent shares are not included in the denominator of the diluted earnings per share calculation when inclusion of such share would be anti-dilutive.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 Segment reporting</w:t>
      </w:r>
    </w:p>
    <w:p>
      <w:pPr>
        <w:spacing w:after="0" w:line="22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on a basis consistent with the Group’s internal organizational structure as well as information about geographical areas, business segments and major clients in financial statements for details on the Group’s business segments. The Group uses the management approach to determine reportable operating segments. The management approach considers the internal organization and reporting used by the Group’s chief operating decision maker (“CODM”) for making decisions, allocating resources and assessing performance. The Group’s CODM has been identified as the CEO, who reviews consolidated results when making decisions about allocating resources and assessing the performance of the Company. Based on the management’s assessment, the Company determined that it has only one operating segment and therefore one reportable segment as defined by ASC 280.</w:t>
      </w:r>
    </w:p>
    <w:p>
      <w:pPr>
        <w:spacing w:after="0" w:line="18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ASU 2023-07 expands disclosures about a public entity’s reportable segments and requires more enhanced information about a reportable segment’s expenses, interim segment profit or loss, and how a public entity’s chief operating decision maker uses reported segment profit or loss information in assessing segment performance and allocating resources. ASU 2023-07 is effective for fiscal years beginning after December 15, 2023 and interim periods within fiscal years beginning after December 15, 2024. In October 2024, the Company adopted ASU No. 2023-07 for the year ended September 30, 2025, retrospectively to all periods presented in the consolidated financial statements, which requires an enhanced disclosure of significant segment expenses that are regularly provided to the CODM and included within each reported measure of segment profit or loss, on an annual and interim basis.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Group’s assets are substantially all located in the PRC and substantially all of the Group’s revenues and expenses are derived in the PRC.</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Therefore, no geographical segments are presented.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 Commitments and contingencies</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commitments and contingencies, including lease commitments, legal proceedings and claims arising out of its business that relate to a wide range of matters, such as government investigations and tax matters. The Group recognizes liability for any such contingencies if it determines it is probable that a loss has occurred and a reasonable estimate of the loss can be made. The Group may consider many factors in making these assessments on liability for contingencies, including historical and the specific facts and circumstances of each matter.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203"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 Recent accounting pronouncements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w:t>
      </w:r>
    </w:p>
    <w:p>
      <w:pPr>
        <w:spacing w:after="0" w:line="176"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The amendments in this ASU improve the income tax disclosures related to rate reconciliation, income taxes paid and other disclosures. The amendments in this ASU apply to all entities that are subject to Topic 740. For public business entities, the new requirements will be effective for annual periods beginning after December 15, 2024. For entities other than public business entities, the requirements will be effective for annual periods beginning after December 15, 2025. The Group is currently evaluating the impact of this new guidance on its consolidated financial statements and expected to be immaterial.</w:t>
      </w:r>
    </w:p>
    <w:p>
      <w:pPr>
        <w:spacing w:after="0" w:line="183"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reporting periods beginning after December 15, 2026, and interim periods within annual reporting periods beginning after December 15, 2027. Both early adoption and retrospective application are permitted. The Group is currently evaluating the impact that the adoption of these standards will have on its consolidated financial statements.</w:t>
      </w:r>
    </w:p>
    <w:p>
      <w:pPr>
        <w:spacing w:after="0" w:line="19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18"/>
          <w:szCs w:val="18"/>
          <w:color w:val="auto"/>
        </w:rPr>
        <w:t>In July 2025, the FASB has released ASU 2025-05, Financial Instruments — Credit Losses — Measurement of Credit Losses for Accounts Receivable and Contract Assets. The purpose of this update is to address challenges encountered when applying the guidance in Topic 326 Financial Instruments—Credit Losses to current accounts receivable and current contract assets arising from transactions accounted for under Topic 606 Revenue from Contracts with Customers. ASU 2025-05 is effective for entities that apply the practical expedient when estimating expected credit losses on current accounts receivable and/or current contract assets arising from transactions under Topic 606, including those assets acquired in a transaction accounted for under Topic 805 Business Combinations, for annual reporting periods beginning after December 15, 2025, and interim reporting periods within annual reporting periods for all entities. Early adoption is permitted in both interim and annual reporting periods in which financial statements have not yet been issued or made available for issuance. The Group is currently evaluating the impact that the adoption of these standards will have on its consolidated financial statements.</w:t>
      </w:r>
    </w:p>
    <w:p>
      <w:pPr>
        <w:spacing w:after="0" w:line="188" w:lineRule="exact"/>
        <w:rPr>
          <w:sz w:val="20"/>
          <w:szCs w:val="20"/>
          <w:color w:val="auto"/>
        </w:rPr>
      </w:pPr>
    </w:p>
    <w:p>
      <w:pPr>
        <w:jc w:val="both"/>
        <w:ind w:left="380"/>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The purpose of this update is to improve the clarity and organization of interim reporting guidance and to enhance the disclosure requirements applicable to interim financial statements. ASU 2025-11 does not change the fundamental principles of interim reporting but clarifies the scope and presentation of required disclosures. A public business entity shall apply for interim reporting periods within annual reporting periods beginning after December 15, 2027. An entity other than a public business entity shall apply for interim reporting periods within annual reporting periods beginning after December 15, 2028. The Group is currently evaluating the impact that the adoption of this standard will have on its interim reporting disclosures.</w:t>
      </w:r>
    </w:p>
    <w:p>
      <w:pPr>
        <w:spacing w:after="0" w:line="187" w:lineRule="exact"/>
        <w:rPr>
          <w:sz w:val="20"/>
          <w:szCs w:val="20"/>
          <w:color w:val="auto"/>
        </w:rPr>
      </w:pPr>
    </w:p>
    <w:p>
      <w:pPr>
        <w:jc w:val="both"/>
        <w:ind w:left="380"/>
        <w:spacing w:after="0" w:line="282" w:lineRule="auto"/>
        <w:rPr>
          <w:sz w:val="20"/>
          <w:szCs w:val="20"/>
          <w:color w:val="auto"/>
        </w:rPr>
      </w:pPr>
      <w:r>
        <w:rPr>
          <w:rFonts w:ascii="Times New Roman" w:cs="Times New Roman" w:eastAsia="Times New Roman" w:hAnsi="Times New Roman"/>
          <w:sz w:val="18"/>
          <w:szCs w:val="18"/>
          <w:color w:val="auto"/>
        </w:rPr>
        <w:t>The Group does not believe any recently issued but not yet effective accounting standards, if currently adopted, would have a material effect on its consolidated financial position, statements of operations and comprehensive loss and cash flows.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ACCOUNTS RECEIVABLE, NET</w:t>
            </w: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544"/>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588,368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6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495,923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expected credit loss</w:t>
            </w: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(37,421)</w:t>
            </w: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550,947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0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492,614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Movement of allowance for expected credit loss was as follows:</w:t>
            </w:r>
          </w:p>
        </w:tc>
        <w:tc>
          <w:tcPr>
            <w:tcW w:w="1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3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September 30,</w:t>
            </w: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the year</w:t>
            </w:r>
          </w:p>
        </w:tc>
        <w:tc>
          <w:tcPr>
            <w:tcW w:w="10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33,716</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10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 of the year</w:t>
            </w:r>
          </w:p>
        </w:tc>
        <w:tc>
          <w:tcPr>
            <w:tcW w:w="10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37,421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0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right="5820" w:hanging="332"/>
        <w:spacing w:after="0" w:line="538" w:lineRule="auto"/>
        <w:tabs>
          <w:tab w:leader="none" w:pos="34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PREPAID EXPENSES AND OTHER CURRENT ASSETS </w:t>
      </w:r>
      <w:r>
        <w:rPr>
          <w:rFonts w:ascii="Times New Roman" w:cs="Times New Roman" w:eastAsia="Times New Roman" w:hAnsi="Times New Roman"/>
          <w:sz w:val="17"/>
          <w:szCs w:val="17"/>
          <w:color w:val="auto"/>
        </w:rPr>
        <w:t>Prepaid expenses and other current assets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536"/>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service fees</w:t>
            </w:r>
          </w:p>
        </w:tc>
        <w:tc>
          <w:tcPr>
            <w:tcW w:w="10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49,351</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48,781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advance</w:t>
            </w:r>
          </w:p>
        </w:tc>
        <w:tc>
          <w:tcPr>
            <w:tcW w:w="10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Prepaid income tax</w:t>
            </w: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3,209</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13,017</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6,636</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6,553</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0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60,155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0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71,321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expected credit loss</w:t>
            </w:r>
          </w:p>
        </w:tc>
        <w:tc>
          <w:tcPr>
            <w:tcW w:w="10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Pr>
          <w:p>
            <w:pPr>
              <w:spacing w:after="0"/>
              <w:rPr>
                <w:sz w:val="19"/>
                <w:szCs w:val="19"/>
                <w:color w:val="auto"/>
              </w:rPr>
            </w:pPr>
          </w:p>
        </w:tc>
        <w:tc>
          <w:tcPr>
            <w:tcW w:w="116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Movement of allowance for expected credit loss was as follows:</w:t>
            </w:r>
          </w:p>
        </w:tc>
        <w:tc>
          <w:tcPr>
            <w:tcW w:w="1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September 30,</w:t>
            </w: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the year</w:t>
            </w:r>
          </w:p>
        </w:tc>
        <w:tc>
          <w:tcPr>
            <w:tcW w:w="10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34,801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33,473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Reversal</w:t>
            </w: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(2,299)</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10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 of the year</w:t>
            </w:r>
          </w:p>
        </w:tc>
        <w:tc>
          <w:tcPr>
            <w:tcW w:w="10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1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536"/>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w:t>
            </w:r>
          </w:p>
        </w:tc>
        <w:tc>
          <w:tcPr>
            <w:tcW w:w="10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8,875</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8,831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10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(5,280)</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September 30, 2025 and 2024, depreciation expenses amounted to $3,439 and $3,529, respectively.</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684" w:right="47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203"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net, consisted of the following:</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copyright</w:t>
            </w:r>
          </w:p>
        </w:tc>
        <w:tc>
          <w:tcPr>
            <w:tcW w:w="22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582,452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577,962</w:t>
            </w:r>
          </w:p>
        </w:tc>
        <w:tc>
          <w:tcPr>
            <w:tcW w:w="80" w:type="dxa"/>
            <w:vAlign w:val="bottom"/>
            <w:shd w:val="clear" w:color="auto" w:fill="CCEEFF"/>
          </w:tcPr>
          <w:p>
            <w:pPr>
              <w:spacing w:after="0"/>
              <w:rPr>
                <w:sz w:val="18"/>
                <w:szCs w:val="18"/>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2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582,452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577,962</w:t>
            </w:r>
          </w:p>
        </w:tc>
        <w:tc>
          <w:tcPr>
            <w:tcW w:w="80" w:type="dxa"/>
            <w:vAlign w:val="bottom"/>
          </w:tcPr>
          <w:p>
            <w:pPr>
              <w:spacing w:after="0"/>
              <w:rPr>
                <w:sz w:val="18"/>
                <w:szCs w:val="18"/>
                <w:color w:val="auto"/>
              </w:rPr>
            </w:pPr>
          </w:p>
        </w:tc>
      </w:tr>
      <w:tr>
        <w:trPr>
          <w:trHeight w:val="23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(204,450)</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(162,022)</w:t>
            </w: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10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378,002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5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415,940</w:t>
            </w:r>
          </w:p>
        </w:tc>
        <w:tc>
          <w:tcPr>
            <w:tcW w:w="80" w:type="dxa"/>
            <w:vAlign w:val="bottom"/>
          </w:tcPr>
          <w:p>
            <w:pPr>
              <w:spacing w:after="0"/>
              <w:rPr>
                <w:sz w:val="19"/>
                <w:szCs w:val="19"/>
                <w:color w:val="auto"/>
              </w:rPr>
            </w:pPr>
          </w:p>
        </w:tc>
      </w:tr>
      <w:tr>
        <w:trPr>
          <w:trHeight w:val="20"/>
        </w:trPr>
        <w:tc>
          <w:tcPr>
            <w:tcW w:w="6680" w:type="dxa"/>
            <w:vAlign w:val="bottom"/>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For the years ended September 30, 2025 and 2024, amortization expenses amounted to $44,156 and $40,907,</w:t>
            </w:r>
          </w:p>
        </w:tc>
        <w:tc>
          <w:tcPr>
            <w:tcW w:w="1640" w:type="dxa"/>
            <w:vAlign w:val="bottom"/>
            <w:gridSpan w:val="4"/>
          </w:tcPr>
          <w:p>
            <w:pPr>
              <w:jc w:val="right"/>
              <w:ind w:right="564"/>
              <w:spacing w:after="0"/>
              <w:rPr>
                <w:sz w:val="20"/>
                <w:szCs w:val="20"/>
                <w:color w:val="auto"/>
              </w:rPr>
            </w:pPr>
            <w:r>
              <w:rPr>
                <w:rFonts w:ascii="Times New Roman" w:cs="Times New Roman" w:eastAsia="Times New Roman" w:hAnsi="Times New Roman"/>
                <w:sz w:val="18"/>
                <w:szCs w:val="18"/>
                <w:color w:val="auto"/>
              </w:rPr>
              <w:t>respectively.</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94" w:lineRule="exact"/>
        <w:rPr>
          <w:sz w:val="20"/>
          <w:szCs w:val="20"/>
          <w:color w:val="auto"/>
        </w:rPr>
      </w:pPr>
    </w:p>
    <w:p>
      <w:pPr>
        <w:ind w:left="340" w:right="5640" w:hanging="332"/>
        <w:spacing w:after="0" w:line="538" w:lineRule="auto"/>
        <w:tabs>
          <w:tab w:leader="none" w:pos="3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tax payable</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payables to third parties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43,883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116,650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Reimbursements payable</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47,650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49,092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108,417</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171,926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BANK LOANS</w:t>
            </w: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60" w:type="dxa"/>
            <w:vAlign w:val="bottom"/>
            <w:gridSpan w:val="3"/>
            <w:vMerge w:val="continue"/>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loans consisted of the following:</w:t>
            </w: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32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8"/>
                <w:szCs w:val="18"/>
                <w:b w:val="1"/>
                <w:bCs w:val="1"/>
                <w:color w:val="auto"/>
              </w:rPr>
              <w:t>Provider</w:t>
            </w:r>
          </w:p>
        </w:tc>
        <w:tc>
          <w:tcPr>
            <w:tcW w:w="2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Loan period</w:t>
            </w:r>
          </w:p>
        </w:tc>
        <w:tc>
          <w:tcPr>
            <w:tcW w:w="13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320" w:type="dxa"/>
            <w:vAlign w:val="bottom"/>
            <w:gridSpan w:val="2"/>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loans</w:t>
            </w: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May 10, 2024 to April 20,</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 Merchants Bank</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Pr>
          <w:p>
            <w:pPr>
              <w:spacing w:after="0"/>
              <w:rPr>
                <w:sz w:val="20"/>
                <w:szCs w:val="20"/>
                <w:color w:val="auto"/>
              </w:rPr>
            </w:pP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c>
          <w:tcPr>
            <w:tcW w:w="660" w:type="dxa"/>
            <w:vAlign w:val="bottom"/>
            <w:gridSpan w:val="2"/>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313,497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June 19, 2024 to June 17,</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Commercial Bank of China</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May 13, 2025 to May 13,</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 Merchants Bank</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Pr>
          <w:p>
            <w:pPr>
              <w:spacing w:after="0"/>
              <w:rPr>
                <w:sz w:val="20"/>
                <w:szCs w:val="20"/>
                <w:color w:val="auto"/>
              </w:rPr>
            </w:pP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70,235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April 22, 2025 to April 22,</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Merchants Bank</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98,328</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June 17, 2025 to June 16,</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and Commercial Bank of China</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Pr>
          <w:p>
            <w:pPr>
              <w:spacing w:after="0"/>
              <w:rPr>
                <w:sz w:val="20"/>
                <w:szCs w:val="20"/>
                <w:color w:val="auto"/>
              </w:rPr>
            </w:pP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140,469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309,032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370,497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loans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July 6, 2022 to July 6,</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Standard Chartered Bank</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Pr>
          <w:p>
            <w:pPr>
              <w:spacing w:after="0"/>
              <w:rPr>
                <w:sz w:val="20"/>
                <w:szCs w:val="20"/>
                <w:color w:val="auto"/>
              </w:rPr>
            </w:pP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12.00%</w:t>
            </w:r>
          </w:p>
        </w:tc>
        <w:tc>
          <w:tcPr>
            <w:tcW w:w="660" w:type="dxa"/>
            <w:vAlign w:val="bottom"/>
            <w:gridSpan w:val="2"/>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53,738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December 8, 2022 to</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WeBank</w:t>
            </w:r>
          </w:p>
        </w:tc>
        <w:tc>
          <w:tcPr>
            <w:tcW w:w="21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December 8, 2024</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11.52%</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January 4, 2023 to January</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WeBank</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8, 2025</w:t>
            </w:r>
          </w:p>
        </w:tc>
        <w:tc>
          <w:tcPr>
            <w:tcW w:w="220" w:type="dxa"/>
            <w:vAlign w:val="bottom"/>
          </w:tcPr>
          <w:p>
            <w:pPr>
              <w:spacing w:after="0"/>
              <w:rPr>
                <w:sz w:val="20"/>
                <w:szCs w:val="20"/>
                <w:color w:val="auto"/>
              </w:rPr>
            </w:pP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9.45%</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21,714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June 29, 2023 to July 8,</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WeBank</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11.52%</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27,685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June 17, 2025 to June 8,</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WeBank</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220" w:type="dxa"/>
            <w:vAlign w:val="bottom"/>
          </w:tcPr>
          <w:p>
            <w:pPr>
              <w:spacing w:after="0"/>
              <w:rPr>
                <w:sz w:val="20"/>
                <w:szCs w:val="20"/>
                <w:color w:val="auto"/>
              </w:rPr>
            </w:pP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68,830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68,830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120,949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F-18</w:t>
            </w: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203"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LOANS – Continued</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Weighted average interest rate and interest rate for the bank loans for the presented periods were as follows:</w:t>
      </w:r>
    </w:p>
    <w:p>
      <w:pPr>
        <w:spacing w:after="0" w:line="221"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19685</wp:posOffset>
            </wp:positionV>
            <wp:extent cx="2529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11" w:lineRule="exact"/>
        <w:rPr>
          <w:sz w:val="20"/>
          <w:szCs w:val="20"/>
          <w:color w:val="auto"/>
        </w:rPr>
      </w:pPr>
    </w:p>
    <w:p>
      <w:pPr>
        <w:ind w:left="7680"/>
        <w:spacing w:after="0"/>
        <w:tabs>
          <w:tab w:leader="none" w:pos="984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43" w:lineRule="exact"/>
        <w:rPr>
          <w:sz w:val="20"/>
          <w:szCs w:val="20"/>
          <w:color w:val="auto"/>
        </w:rPr>
      </w:pPr>
    </w:p>
    <w:tbl>
      <w:tblPr>
        <w:tblLayout w:type="fixed"/>
        <w:tblInd w:w="340" w:type="dxa"/>
        <w:tblCellMar>
          <w:top w:w="0" w:type="dxa"/>
          <w:left w:w="0" w:type="dxa"/>
          <w:bottom w:w="0" w:type="dxa"/>
          <w:right w:w="0" w:type="dxa"/>
        </w:tblCellMar>
      </w:tblPr>
      <w:tr>
        <w:trPr>
          <w:trHeight w:val="20"/>
        </w:trPr>
        <w:tc>
          <w:tcPr>
            <w:tcW w:w="6620" w:type="dxa"/>
            <w:vAlign w:val="bottom"/>
            <w:shd w:val="clear" w:color="auto" w:fill="CCEEFF"/>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89"/>
        </w:trPr>
        <w:tc>
          <w:tcPr>
            <w:tcW w:w="66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Weighted-average remaining loan term (years)</w:t>
            </w:r>
          </w:p>
        </w:tc>
        <w:tc>
          <w:tcPr>
            <w:tcW w:w="2180" w:type="dxa"/>
            <w:vAlign w:val="bottom"/>
            <w:gridSpan w:val="2"/>
            <w:shd w:val="clear" w:color="auto" w:fill="CCEEFF"/>
          </w:tcPr>
          <w:p>
            <w:pPr>
              <w:ind w:left="1500"/>
              <w:spacing w:after="0" w:line="189" w:lineRule="exact"/>
              <w:rPr>
                <w:sz w:val="20"/>
                <w:szCs w:val="20"/>
                <w:color w:val="auto"/>
              </w:rPr>
            </w:pPr>
            <w:r>
              <w:rPr>
                <w:rFonts w:ascii="Times New Roman" w:cs="Times New Roman" w:eastAsia="Times New Roman" w:hAnsi="Times New Roman"/>
                <w:sz w:val="18"/>
                <w:szCs w:val="18"/>
                <w:color w:val="auto"/>
              </w:rPr>
              <w:t>0.79</w:t>
            </w:r>
          </w:p>
        </w:tc>
        <w:tc>
          <w:tcPr>
            <w:tcW w:w="1960" w:type="dxa"/>
            <w:vAlign w:val="bottom"/>
            <w:gridSpan w:val="2"/>
            <w:shd w:val="clear" w:color="auto" w:fill="CCEEFF"/>
          </w:tcPr>
          <w:p>
            <w:pPr>
              <w:ind w:left="1480"/>
              <w:spacing w:after="0" w:line="189" w:lineRule="exact"/>
              <w:rPr>
                <w:sz w:val="20"/>
                <w:szCs w:val="20"/>
                <w:color w:val="auto"/>
              </w:rPr>
            </w:pPr>
            <w:r>
              <w:rPr>
                <w:rFonts w:ascii="Times New Roman" w:cs="Times New Roman" w:eastAsia="Times New Roman" w:hAnsi="Times New Roman"/>
                <w:sz w:val="18"/>
                <w:szCs w:val="18"/>
                <w:color w:val="auto"/>
              </w:rPr>
              <w:t>0.54</w:t>
            </w: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21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3.19%</w:t>
            </w:r>
          </w:p>
        </w:tc>
        <w:tc>
          <w:tcPr>
            <w:tcW w:w="196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w w:val="98"/>
              </w:rPr>
              <w:t>5.74%</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expenses were $15,536 and $42,789 for the years ended September 30, 2025 and 2024, respectively.</w:t>
      </w:r>
    </w:p>
    <w:p>
      <w:pPr>
        <w:spacing w:after="0" w:line="221"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LEASING</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operating leases for office and employee accommodation. The Group determines if an arrangement is a lease, or contains a lease, at inception and records the lease in the consolidated financial statements upon lease commencement, which is the date when the lessor makes the underlying asset available for use by the lessee.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475"/>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assets</w:t>
            </w: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110,967</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17,550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52,098</w:t>
            </w: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53,502</w:t>
            </w: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7,068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operating lease expenses for the presented periods were as follows:</w:t>
            </w:r>
          </w:p>
        </w:tc>
        <w:tc>
          <w:tcPr>
            <w:tcW w:w="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66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40" w:type="dxa"/>
            <w:vAlign w:val="bottom"/>
          </w:tcPr>
          <w:p>
            <w:pPr>
              <w:spacing w:after="0"/>
              <w:rPr>
                <w:sz w:val="24"/>
                <w:szCs w:val="24"/>
                <w:color w:val="auto"/>
              </w:rPr>
            </w:pPr>
          </w:p>
        </w:tc>
        <w:tc>
          <w:tcPr>
            <w:tcW w:w="6620" w:type="dxa"/>
            <w:vAlign w:val="bottom"/>
            <w:vMerge w:val="restart"/>
          </w:tcPr>
          <w:p>
            <w:pPr>
              <w:ind w:left="2740"/>
              <w:spacing w:after="0"/>
              <w:rPr>
                <w:sz w:val="20"/>
                <w:szCs w:val="20"/>
                <w:color w:val="auto"/>
              </w:rPr>
            </w:pPr>
            <w:r>
              <w:rPr>
                <w:rFonts w:ascii="Times New Roman" w:cs="Times New Roman" w:eastAsia="Times New Roman" w:hAnsi="Times New Roman"/>
                <w:sz w:val="18"/>
                <w:szCs w:val="18"/>
                <w:color w:val="auto"/>
              </w:rPr>
              <w:t>Classification</w:t>
            </w:r>
          </w:p>
        </w:tc>
        <w:tc>
          <w:tcPr>
            <w:tcW w:w="60" w:type="dxa"/>
            <w:vAlign w:val="bottom"/>
          </w:tcPr>
          <w:p>
            <w:pPr>
              <w:spacing w:after="0"/>
              <w:rPr>
                <w:sz w:val="24"/>
                <w:szCs w:val="24"/>
                <w:color w:val="auto"/>
              </w:rPr>
            </w:pPr>
          </w:p>
        </w:tc>
        <w:tc>
          <w:tcPr>
            <w:tcW w:w="3320" w:type="dxa"/>
            <w:vAlign w:val="bottom"/>
            <w:tcBorders>
              <w:bottom w:val="single" w:sz="8" w:color="auto"/>
            </w:tcBorders>
            <w:gridSpan w:val="6"/>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Years Ended September 30,</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47,005</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6,256</w:t>
            </w: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7,432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17,948</w:t>
            </w: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3,822</w:t>
            </w: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6,305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75,031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remaining lease term and discount rate were as follows:</w:t>
            </w:r>
          </w:p>
        </w:tc>
        <w:tc>
          <w:tcPr>
            <w:tcW w:w="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66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jc w:val="right"/>
              <w:ind w:right="535"/>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2.08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1.83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3.85%</w:t>
            </w: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8"/>
              </w:rPr>
              <w:t>3.85%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2025, the maturities of the Group’s lease liabilities are as follows:</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September 30, 2026</w:t>
            </w: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Year ending September 30, 2027</w:t>
            </w: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46,970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September 30, 2028</w:t>
            </w:r>
          </w:p>
        </w:tc>
        <w:tc>
          <w:tcPr>
            <w:tcW w:w="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Year ending September 30, 2029</w:t>
            </w: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payment</w:t>
            </w: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(4,396)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Present value of lease obligation</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20" w:type="dxa"/>
            <w:vAlign w:val="bottom"/>
            <w:vMerge w:val="restart"/>
          </w:tcPr>
          <w:p>
            <w:pPr>
              <w:ind w:left="5120"/>
              <w:spacing w:after="0"/>
              <w:rPr>
                <w:sz w:val="20"/>
                <w:szCs w:val="20"/>
                <w:color w:val="auto"/>
              </w:rPr>
            </w:pPr>
            <w:r>
              <w:rPr>
                <w:rFonts w:ascii="Times New Roman" w:cs="Times New Roman" w:eastAsia="Times New Roman" w:hAnsi="Times New Roman"/>
                <w:sz w:val="18"/>
                <w:szCs w:val="18"/>
                <w:color w:val="auto"/>
              </w:rPr>
              <w:t>F-19</w:t>
            </w: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203" w:lineRule="exact"/>
        <w:rPr>
          <w:sz w:val="20"/>
          <w:szCs w:val="20"/>
          <w:color w:val="auto"/>
        </w:rPr>
      </w:pPr>
    </w:p>
    <w:p>
      <w:pPr>
        <w:ind w:left="340" w:right="9960" w:hanging="332"/>
        <w:spacing w:after="0" w:line="532" w:lineRule="auto"/>
        <w:tabs>
          <w:tab w:leader="none" w:pos="34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TAXATION </w:t>
      </w:r>
      <w:r>
        <w:rPr>
          <w:rFonts w:ascii="Times New Roman" w:cs="Times New Roman" w:eastAsia="Times New Roman" w:hAnsi="Times New Roman"/>
          <w:sz w:val="17"/>
          <w:szCs w:val="17"/>
          <w:b w:val="1"/>
          <w:bCs w:val="1"/>
          <w:i w:val="1"/>
          <w:iCs w:val="1"/>
          <w:color w:val="auto"/>
        </w:rPr>
        <w:t>PRC</w:t>
      </w:r>
    </w:p>
    <w:p>
      <w:pPr>
        <w:spacing w:after="0" w:line="1" w:lineRule="exact"/>
        <w:rPr>
          <w:rFonts w:ascii="Times New Roman" w:cs="Times New Roman" w:eastAsia="Times New Roman" w:hAnsi="Times New Roman"/>
          <w:sz w:val="17"/>
          <w:szCs w:val="17"/>
          <w:b w:val="1"/>
          <w:bCs w:val="1"/>
          <w:color w:val="auto"/>
        </w:rPr>
      </w:pPr>
    </w:p>
    <w:p>
      <w:pPr>
        <w:jc w:val="both"/>
        <w:ind w:left="340"/>
        <w:spacing w:after="0" w:line="25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is governed by the income tax laws of the PRC and the income tax provision in respect to operations in the PRC is calculated at the applicable tax rates on the taxable income for the periods based on existing legislation, interpretations and practices in respect thereof. Under the Enterprise Income Tax Laws of the PRC (the “EIT Laws”), domestic enterprises and Foreign Investment Enterprises (the “FIE”) are usually subject to</w:t>
      </w:r>
    </w:p>
    <w:p>
      <w:pPr>
        <w:spacing w:after="0" w:line="1"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a unified 25% enterprise income tax rate while preferential tax rates, tax holidays and even tax exemption may be granted on case-by-case basis. The PRC tax authorities grant preferential tax treatment to High and New Technology Enterprises (“HNTEs”). Under this preferential tax treatment, HNTEs are subject to a requirement that they re-apply for HNTE status every three years.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Celnet HK is incorporated in Hong Kong and is subject to Hong Kong Profits Tax on the taxable income as reported in its statutory financial statements adjusted in accordance with relevant Hong Kong tax laws. The applicable tax rate is 16.5% in Hong Kong. Celnet HK did not make any provisions for Hong Kong profit tax as there were no assessable profits derived from or earned in Hong Kong since inception. Under Hong Kong tax law, Celnet HK is exempted from income tax on its foreign-derived income and there are no withholding taxes in Hong Kong on remittance of dividends.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w:t>
            </w:r>
          </w:p>
        </w:tc>
        <w:tc>
          <w:tcPr>
            <w:tcW w:w="1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September 30,</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6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83,040</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 / benefit</w:t>
            </w: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83,040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(loss) before income taxes were comprised of the following:</w:t>
            </w:r>
          </w:p>
        </w:tc>
        <w:tc>
          <w:tcPr>
            <w:tcW w:w="1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September 30,</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jurisdictions from:</w:t>
            </w:r>
          </w:p>
        </w:tc>
        <w:tc>
          <w:tcPr>
            <w:tcW w:w="16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2820" w:type="dxa"/>
            <w:vAlign w:val="bottom"/>
            <w:gridSpan w:val="2"/>
          </w:tcPr>
          <w:p>
            <w:pPr>
              <w:jc w:val="right"/>
              <w:ind w:right="9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7,716</w:t>
            </w:r>
          </w:p>
        </w:tc>
        <w:tc>
          <w:tcPr>
            <w:tcW w:w="1340" w:type="dxa"/>
            <w:vAlign w:val="bottom"/>
            <w:gridSpan w:val="2"/>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16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384,545</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(203,463)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w:t>
            </w:r>
          </w:p>
        </w:tc>
        <w:tc>
          <w:tcPr>
            <w:tcW w:w="16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9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392,261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10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(204,722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right"/>
              <w:ind w:right="2292"/>
              <w:spacing w:after="0"/>
              <w:rPr>
                <w:sz w:val="20"/>
                <w:szCs w:val="20"/>
                <w:color w:val="auto"/>
              </w:rPr>
            </w:pPr>
            <w:r>
              <w:rPr>
                <w:rFonts w:ascii="Times New Roman" w:cs="Times New Roman" w:eastAsia="Times New Roman" w:hAnsi="Times New Roman"/>
                <w:sz w:val="18"/>
                <w:szCs w:val="18"/>
                <w:color w:val="auto"/>
              </w:rPr>
              <w:t>F-20</w:t>
            </w: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203"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 Continued</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reconciliation of the income tax expense determined at the statutory income tax rate to the Company’s income taxes are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September 30,</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16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392,261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(204,722)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at statutory tax rate@25%</w:t>
            </w:r>
          </w:p>
        </w:tc>
        <w:tc>
          <w:tcPr>
            <w:tcW w:w="1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98,066</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(51,181)</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deduction for R&amp;D expenses</w:t>
            </w:r>
          </w:p>
        </w:tc>
        <w:tc>
          <w:tcPr>
            <w:tcW w:w="1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(14,116)</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expense</w:t>
            </w:r>
          </w:p>
        </w:tc>
        <w:tc>
          <w:tcPr>
            <w:tcW w:w="1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1,136</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preferential tax rates</w:t>
            </w:r>
          </w:p>
        </w:tc>
        <w:tc>
          <w:tcPr>
            <w:tcW w:w="1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(1,292)</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211</w:t>
            </w:r>
          </w:p>
        </w:tc>
      </w:tr>
      <w:tr>
        <w:trPr>
          <w:trHeight w:val="229"/>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(637)</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54,251</w:t>
            </w:r>
          </w:p>
        </w:tc>
      </w:tr>
      <w:tr>
        <w:trPr>
          <w:trHeight w:val="223"/>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expenses / benefit</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83,040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5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According to PRC tax regulations, the PRC net operating loss can generally carry forward for no longer than five years starting from the year subsequent to the year in which the loss was incurred, and that of high-tech enterprises and technology-based small and medium-sized enterprises is no more than 10 years. Carryback of losses is not permitted. As of September 30, 2025 and 2024, the Group had PRC net operating tax loss carry forwards of $1,444,633 and $1,837,468, respectively. As of September 30, 2025, net operating loss carryforwards from PRC will expire in calendar years 2026 through 2032, if not utilized.</w:t>
      </w:r>
    </w:p>
    <w:p>
      <w:pPr>
        <w:spacing w:after="0" w:line="183"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and 2024, the Group had Hong Kong net operating tax loss carry forwards of $8,584 and $15,760, respectively. The net operating tax loss carry forwards in Hong Kong can be carried forward without an expiration date.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Deferred tax assets</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Deferred tax is recognized on temporary differences between the carrying amounts of assets and liabilities in the consolidated financial statements and the corresponding tax bases used in the computation of taxable profit. Deferred tax liabilities are generally recognized for all taxable temporary differences. Deferred tax assets are generally recognized for all deductible temporary differences to the extent that it is probable that taxable profits will be available against which those deductible temporary differences can be utilized.</w:t>
      </w:r>
    </w:p>
    <w:p>
      <w:pPr>
        <w:spacing w:after="0" w:line="18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measured at the tax rates that are expected to apply in the period in which the liability is settled or the asset realized, based on tax rates (and tax laws) that have been enacted or substantively enacted by the end of the reported period. The PRC tax laws regulate that the net operating losses incurred in the tax year of an enterprise may be carried forward to subsequent years (not exceed five years or ten years if HNTE) and reduce the taxable income of subsequent years when filing income tax.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The significant components of deferred taxes were as follows:</w:t>
            </w:r>
          </w:p>
        </w:tc>
        <w:tc>
          <w:tcPr>
            <w:tcW w:w="1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5"/>
        </w:trPr>
        <w:tc>
          <w:tcPr>
            <w:tcW w:w="3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480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2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361,932</w:t>
            </w:r>
          </w:p>
        </w:tc>
        <w:tc>
          <w:tcPr>
            <w:tcW w:w="8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460,807</w:t>
            </w:r>
          </w:p>
        </w:tc>
        <w:tc>
          <w:tcPr>
            <w:tcW w:w="1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9,355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827</w:t>
            </w:r>
          </w:p>
        </w:tc>
        <w:tc>
          <w:tcPr>
            <w:tcW w:w="14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26,400</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4,045</w:t>
            </w:r>
          </w:p>
        </w:tc>
        <w:tc>
          <w:tcPr>
            <w:tcW w:w="14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8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397,687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465,679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(361,932)</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(367,816)</w:t>
            </w:r>
          </w:p>
        </w:tc>
        <w:tc>
          <w:tcPr>
            <w:tcW w:w="140" w:type="dxa"/>
            <w:vAlign w:val="bottom"/>
          </w:tcPr>
          <w:p>
            <w:pPr>
              <w:spacing w:after="0"/>
              <w:rPr>
                <w:sz w:val="19"/>
                <w:szCs w:val="19"/>
                <w:color w:val="auto"/>
              </w:rPr>
            </w:pPr>
          </w:p>
        </w:tc>
      </w:tr>
      <w:tr>
        <w:trPr>
          <w:trHeight w:val="209"/>
        </w:trPr>
        <w:tc>
          <w:tcPr>
            <w:tcW w:w="34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 net</w:t>
            </w:r>
          </w:p>
        </w:tc>
        <w:tc>
          <w:tcPr>
            <w:tcW w:w="18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35,755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97,863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(27,742)</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140" w:type="dxa"/>
            <w:vAlign w:val="bottom"/>
          </w:tcPr>
          <w:p>
            <w:pPr>
              <w:spacing w:after="0"/>
              <w:rPr>
                <w:sz w:val="19"/>
                <w:szCs w:val="19"/>
                <w:color w:val="auto"/>
              </w:rPr>
            </w:pPr>
          </w:p>
        </w:tc>
      </w:tr>
      <w:tr>
        <w:trPr>
          <w:trHeight w:val="209"/>
        </w:trPr>
        <w:tc>
          <w:tcPr>
            <w:tcW w:w="34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8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(27,742</w:t>
            </w:r>
          </w:p>
        </w:tc>
        <w:tc>
          <w:tcPr>
            <w:tcW w:w="180" w:type="dxa"/>
            <w:vAlign w:val="bottom"/>
            <w:tcBorders>
              <w:top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(4,388</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340" w:type="dxa"/>
            <w:vAlign w:val="bottom"/>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w:t>
            </w:r>
          </w:p>
        </w:tc>
        <w:tc>
          <w:tcPr>
            <w:tcW w:w="302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8,013</w:t>
            </w:r>
          </w:p>
        </w:tc>
        <w:tc>
          <w:tcPr>
            <w:tcW w:w="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93,475</w:t>
            </w:r>
          </w:p>
        </w:tc>
        <w:tc>
          <w:tcPr>
            <w:tcW w:w="1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34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jc w:val="right"/>
              <w:ind w:right="2270"/>
              <w:spacing w:after="0"/>
              <w:rPr>
                <w:sz w:val="20"/>
                <w:szCs w:val="20"/>
                <w:color w:val="auto"/>
              </w:rPr>
            </w:pPr>
            <w:r>
              <w:rPr>
                <w:rFonts w:ascii="Times New Roman" w:cs="Times New Roman" w:eastAsia="Times New Roman" w:hAnsi="Times New Roman"/>
                <w:sz w:val="18"/>
                <w:szCs w:val="18"/>
                <w:color w:val="auto"/>
              </w:rPr>
              <w:t>F-21</w:t>
            </w: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SEPTEMBER 30, 2025 AND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TAXATION – Continued</w:t>
      </w:r>
    </w:p>
    <w:p>
      <w:pPr>
        <w:sectPr>
          <w:pgSz w:w="11900" w:h="16838" w:orient="portrait"/>
          <w:cols w:equalWidth="0" w:num="1">
            <w:col w:w="11240"/>
          </w:cols>
          <w:pgMar w:left="320" w:top="684" w:right="339" w:bottom="1440" w:gutter="0" w:footer="0" w:header="0"/>
        </w:sectPr>
      </w:pP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Changes in valuation allowance were as follows: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Balance at the beginning of the year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Utilization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Foreign exchange effect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years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38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367,816</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300,212</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54,251</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(5,247)</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13,353</w:t>
            </w:r>
          </w:p>
        </w:tc>
      </w:tr>
      <w:tr>
        <w:trPr>
          <w:trHeight w:val="223"/>
        </w:trPr>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361,932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367,816</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-4246245</wp:posOffset>
            </wp:positionH>
            <wp:positionV relativeFrom="paragraph">
              <wp:posOffset>-744855</wp:posOffset>
            </wp:positionV>
            <wp:extent cx="684085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40855" cy="14541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-462280</wp:posOffset>
            </wp:positionV>
            <wp:extent cx="684085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40855" cy="137160"/>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-179070</wp:posOffset>
            </wp:positionV>
            <wp:extent cx="6840855"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4085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300" w:space="720"/>
            <w:col w:w="4220"/>
          </w:cols>
          <w:pgMar w:left="320" w:top="684" w:right="339" w:bottom="1440" w:gutter="0" w:footer="0" w:header="0"/>
          <w:type w:val="continuous"/>
        </w:sect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Group has evaluated the positive and negative evidence bearing upon the realizability of its deferred tax assets, which are composed principally of net operating loss carryforwards. As the Group expects to continue to maintain market expansion, the Group is expected to continue its loss status for the next several years. Due to its history of loss and expectation of continued loss, the management concluded that it is more likely than not that the Group will not generate future taxable income prior to the expiration of the majority of net operating loss. During the year ended September 30, 2025, the Group recognized a valuation allowance against the full amount of deferred tax assets arising from its net operating loss carryforwards. As of September 30, 2024, a valuation allowance was provided against a portion of such deferred tax assets. As of September 30, 2025 and 2024, $361,932 and $367,816 valuation allowance has been established, respectively.</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Uncertain Tax Position</w:t>
      </w:r>
    </w:p>
    <w:p>
      <w:pPr>
        <w:spacing w:after="0" w:line="22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As of September 30, 2025 and 2024, the Group did not have any unrecognized uncertain tax positions, and the Group does not believe that its unrecognized tax benefits will change over the next twelve months.</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For the years ended September 30, 2025 and 2024, the Group did not incur any interest and penalties related to potential underpaid income tax expenses.</w:t>
      </w:r>
    </w:p>
    <w:p>
      <w:pPr>
        <w:spacing w:after="0" w:line="158"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list of related parties, with which the Group has transactions: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76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Name of related parties</w:t>
            </w:r>
          </w:p>
        </w:tc>
        <w:tc>
          <w:tcPr>
            <w:tcW w:w="200" w:type="dxa"/>
            <w:vAlign w:val="bottom"/>
          </w:tcPr>
          <w:p>
            <w:pPr>
              <w:spacing w:after="0"/>
              <w:rPr>
                <w:sz w:val="20"/>
                <w:szCs w:val="20"/>
                <w:color w:val="auto"/>
              </w:rPr>
            </w:pPr>
          </w:p>
        </w:tc>
        <w:tc>
          <w:tcPr>
            <w:tcW w:w="452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Relationship</w:t>
            </w:r>
          </w:p>
        </w:tc>
      </w:tr>
      <w:tr>
        <w:trPr>
          <w:trHeight w:val="209"/>
        </w:trPr>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Peng Liu</w:t>
            </w:r>
          </w:p>
        </w:tc>
        <w:tc>
          <w:tcPr>
            <w:tcW w:w="20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legal representative of the Company.</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Sibo Qiu</w:t>
            </w:r>
          </w:p>
        </w:tc>
        <w:tc>
          <w:tcPr>
            <w:tcW w:w="4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Shareholder of the Company</w:t>
            </w:r>
          </w:p>
        </w:tc>
      </w:tr>
      <w:tr>
        <w:trPr>
          <w:trHeight w:val="216"/>
        </w:trPr>
        <w:tc>
          <w:tcPr>
            <w:tcW w:w="1080" w:type="dxa"/>
            <w:vAlign w:val="bottom"/>
            <w:shd w:val="clear" w:color="auto" w:fill="CAEDFB"/>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AEDFB"/>
          </w:tcPr>
          <w:p>
            <w:pPr>
              <w:spacing w:after="0"/>
              <w:rPr>
                <w:sz w:val="18"/>
                <w:szCs w:val="18"/>
                <w:color w:val="auto"/>
              </w:rPr>
            </w:pPr>
          </w:p>
        </w:tc>
        <w:tc>
          <w:tcPr>
            <w:tcW w:w="4760" w:type="dxa"/>
            <w:vAlign w:val="bottom"/>
            <w:shd w:val="clear" w:color="auto" w:fill="CAEDFB"/>
          </w:tcPr>
          <w:p>
            <w:pPr>
              <w:spacing w:after="0"/>
              <w:rPr>
                <w:sz w:val="20"/>
                <w:szCs w:val="20"/>
                <w:color w:val="auto"/>
              </w:rPr>
            </w:pPr>
            <w:r>
              <w:rPr>
                <w:rFonts w:ascii="Times New Roman" w:cs="Times New Roman" w:eastAsia="Times New Roman" w:hAnsi="Times New Roman"/>
                <w:sz w:val="18"/>
                <w:szCs w:val="18"/>
                <w:color w:val="auto"/>
              </w:rPr>
              <w:t>Chengfeng Kang</w:t>
            </w:r>
          </w:p>
        </w:tc>
        <w:tc>
          <w:tcPr>
            <w:tcW w:w="4720" w:type="dxa"/>
            <w:vAlign w:val="bottom"/>
            <w:gridSpan w:val="2"/>
            <w:shd w:val="clear" w:color="auto" w:fill="CAEDFB"/>
          </w:tcPr>
          <w:p>
            <w:pPr>
              <w:ind w:left="200"/>
              <w:spacing w:after="0"/>
              <w:rPr>
                <w:sz w:val="20"/>
                <w:szCs w:val="20"/>
                <w:color w:val="auto"/>
              </w:rPr>
            </w:pPr>
            <w:r>
              <w:rPr>
                <w:rFonts w:ascii="Times New Roman" w:cs="Times New Roman" w:eastAsia="Times New Roman" w:hAnsi="Times New Roman"/>
                <w:sz w:val="18"/>
                <w:szCs w:val="18"/>
                <w:color w:val="auto"/>
              </w:rPr>
              <w:t>Shareholder of the Company</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Balances with related parties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Amounts due to related parties were as follow:</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5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Related party</w:t>
            </w:r>
          </w:p>
        </w:tc>
        <w:tc>
          <w:tcPr>
            <w:tcW w:w="30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Peng Liu</w:t>
            </w:r>
          </w:p>
        </w:tc>
        <w:tc>
          <w:tcPr>
            <w:tcW w:w="3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Interest-free loan</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461,846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Sibo Qiu</w:t>
            </w: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Petty cash</w:t>
            </w:r>
          </w:p>
        </w:tc>
        <w:tc>
          <w:tcPr>
            <w:tcW w:w="560" w:type="dxa"/>
            <w:vAlign w:val="bottom"/>
          </w:tcPr>
          <w:p>
            <w:pPr>
              <w:spacing w:after="0"/>
              <w:rPr>
                <w:sz w:val="18"/>
                <w:szCs w:val="18"/>
                <w:color w:val="auto"/>
              </w:rPr>
            </w:pPr>
          </w:p>
        </w:tc>
        <w:tc>
          <w:tcPr>
            <w:tcW w:w="2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2,053</w:t>
            </w:r>
          </w:p>
        </w:tc>
        <w:tc>
          <w:tcPr>
            <w:tcW w:w="8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1,607</w:t>
            </w:r>
          </w:p>
        </w:tc>
        <w:tc>
          <w:tcPr>
            <w:tcW w:w="60" w:type="dxa"/>
            <w:vAlign w:val="bottom"/>
          </w:tcPr>
          <w:p>
            <w:pPr>
              <w:spacing w:after="0"/>
              <w:rPr>
                <w:sz w:val="18"/>
                <w:szCs w:val="18"/>
                <w:color w:val="auto"/>
              </w:rPr>
            </w:pPr>
          </w:p>
        </w:tc>
      </w:tr>
      <w:tr>
        <w:trPr>
          <w:trHeight w:val="23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Chengfeng Kang</w:t>
            </w:r>
          </w:p>
        </w:tc>
        <w:tc>
          <w:tcPr>
            <w:tcW w:w="3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Petty cash</w:t>
            </w:r>
          </w:p>
        </w:tc>
        <w:tc>
          <w:tcPr>
            <w:tcW w:w="56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9"/>
                <w:szCs w:val="19"/>
                <w:color w:val="auto"/>
              </w:rPr>
            </w:pPr>
          </w:p>
        </w:tc>
      </w:tr>
      <w:tr>
        <w:trPr>
          <w:trHeight w:val="223"/>
        </w:trPr>
        <w:tc>
          <w:tcPr>
            <w:tcW w:w="25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463,917</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422,688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25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due to related parties were unsecured, interest-free and repayable on demand.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203"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authorized share capital is $1,553,439 (RMB10,268,000) divided into 10,268,000 ordinary shares with par value of US$0.15 (RMB1) each. As of September 30, 2023, the Group had 8,762,000 shares issued and paid. In fiscal year of 2024, the shareholders made capital contribution for 1,506,000 ordinary shares for a total consideration of $210,943. As of September 30, 2025 and 2024, the Group had 10,268,000 shares issued and paid.</w:t>
      </w:r>
    </w:p>
    <w:p>
      <w:pPr>
        <w:spacing w:after="0" w:line="17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basic and diluted earnings (loss) per share computation and provides a reconciliation of the numerator and denominator for the presented periods: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0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For the years ended September 30,</w:t>
            </w:r>
          </w:p>
        </w:tc>
      </w:tr>
      <w:tr>
        <w:trPr>
          <w:trHeight w:val="223"/>
        </w:trPr>
        <w:tc>
          <w:tcPr>
            <w:tcW w:w="49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309,221</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(204,250)</w:t>
            </w:r>
          </w:p>
        </w:tc>
      </w:tr>
      <w:tr>
        <w:trPr>
          <w:trHeight w:val="197"/>
        </w:trPr>
        <w:tc>
          <w:tcPr>
            <w:tcW w:w="494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w:t>
            </w:r>
          </w:p>
        </w:tc>
        <w:tc>
          <w:tcPr>
            <w:tcW w:w="1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10,268,000</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9,886,683</w:t>
            </w:r>
          </w:p>
        </w:tc>
        <w:tc>
          <w:tcPr>
            <w:tcW w:w="80" w:type="dxa"/>
            <w:vAlign w:val="bottom"/>
            <w:shd w:val="clear" w:color="auto" w:fill="CCEEFF"/>
          </w:tcPr>
          <w:p>
            <w:pPr>
              <w:spacing w:after="0"/>
              <w:rPr>
                <w:sz w:val="19"/>
                <w:szCs w:val="19"/>
                <w:color w:val="auto"/>
              </w:rPr>
            </w:pPr>
          </w:p>
        </w:tc>
      </w:tr>
      <w:tr>
        <w:trPr>
          <w:trHeight w:val="210"/>
        </w:trPr>
        <w:tc>
          <w:tcPr>
            <w:tcW w:w="49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0.03</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r>
      <w:tr>
        <w:trPr>
          <w:trHeight w:val="20"/>
        </w:trPr>
        <w:tc>
          <w:tcPr>
            <w:tcW w:w="4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doubtful accounts. The Group conducts periodic reviews of the financial condition and payment practices of its customers to minimize collection risk on accounts receivable.</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a summary of single customers who represent 10% or more of the Group’s total revenue.</w:t>
      </w:r>
    </w:p>
    <w:p>
      <w:pPr>
        <w:spacing w:after="0" w:line="23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For the years ended September 30,</w:t>
      </w:r>
    </w:p>
    <w:p>
      <w:pPr>
        <w:spacing w:after="0" w:line="31"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662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total revenue</w:t>
            </w: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29.97%</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42.13%</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11.28%</w:t>
            </w: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 10% or more of the Group’s total accounts receivable:</w:t>
      </w:r>
    </w:p>
    <w:p>
      <w:pPr>
        <w:spacing w:after="0" w:line="23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As of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Pr>
          <w:p>
            <w:pPr>
              <w:spacing w:after="0"/>
              <w:rPr>
                <w:sz w:val="19"/>
                <w:szCs w:val="19"/>
                <w:color w:val="auto"/>
              </w:rPr>
            </w:pPr>
          </w:p>
        </w:tc>
        <w:tc>
          <w:tcPr>
            <w:tcW w:w="662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accounts receivable</w:t>
            </w: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22.07%</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18.53%</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40" w:type="dxa"/>
            <w:vAlign w:val="bottom"/>
          </w:tcPr>
          <w:p>
            <w:pPr>
              <w:spacing w:after="0"/>
              <w:rPr>
                <w:sz w:val="18"/>
                <w:szCs w:val="18"/>
                <w:color w:val="auto"/>
              </w:rPr>
            </w:pPr>
          </w:p>
        </w:tc>
      </w:tr>
      <w:tr>
        <w:trPr>
          <w:trHeight w:val="432"/>
        </w:trPr>
        <w:tc>
          <w:tcPr>
            <w:tcW w:w="34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gridSpan w:val="2"/>
          </w:tcPr>
          <w:p>
            <w:pPr>
              <w:ind w:left="5120"/>
              <w:spacing w:after="0"/>
              <w:rPr>
                <w:sz w:val="20"/>
                <w:szCs w:val="20"/>
                <w:color w:val="auto"/>
              </w:rPr>
            </w:pPr>
            <w:r>
              <w:rPr>
                <w:rFonts w:ascii="Times New Roman" w:cs="Times New Roman" w:eastAsia="Times New Roman" w:hAnsi="Times New Roman"/>
                <w:sz w:val="18"/>
                <w:szCs w:val="18"/>
                <w:color w:val="auto"/>
              </w:rPr>
              <w:t>F-23</w:t>
            </w: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CELNET TECHNOLOGY CO.,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SEPTEMBER 30, 2025 AND 2024</w:t>
      </w:r>
    </w:p>
    <w:p>
      <w:pPr>
        <w:spacing w:after="0" w:line="203"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CREDIT RISK – Continued</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a summary of single suppliers who represent 10% or more of the Group’s total purchases:</w:t>
      </w:r>
    </w:p>
    <w:p>
      <w:pPr>
        <w:spacing w:after="0" w:line="235"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For the years ended September 30,</w:t>
      </w:r>
    </w:p>
    <w:p>
      <w:pPr>
        <w:spacing w:after="0" w:line="31"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668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purchase</w:t>
            </w: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A</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single suppliers who represent 10% or more of the Group’s total accounts payable:</w:t>
      </w:r>
    </w:p>
    <w:p>
      <w:pPr>
        <w:spacing w:after="0" w:line="23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As of September 30,</w:t>
      </w:r>
    </w:p>
    <w:p>
      <w:pPr>
        <w:spacing w:after="0" w:line="31"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662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the Group’s accounts payable to</w:t>
            </w:r>
          </w:p>
        </w:tc>
        <w:tc>
          <w:tcPr>
            <w:tcW w:w="1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A</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41.76%</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B</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75.17%</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w:t>
            </w:r>
          </w:p>
        </w:tc>
      </w:tr>
      <w:tr>
        <w:trPr>
          <w:trHeight w:val="234"/>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C</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14.65%</w:t>
            </w: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represents percentage less than 10%</w:t>
      </w:r>
    </w:p>
    <w:p>
      <w:pPr>
        <w:spacing w:after="0" w:line="221"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operates as one operating and reportable segment, with its principal business activity being the provision of enterprise digital transformation solutions, specializing in Customer Relationship Management (CRM) system development, implementation, and related services.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CODM uses consolidated net profit or loss to measure segment profit or loss and assesses performance against expectations to make resource allocation decisions. Additionally, the CODM reviews and uses functional expenses included in consolidated net loss to manage the Group’s operations and assess operating profitability. The Group operates as one operating and reportable segment, and as such the significant segment expenses regularly provided to the CODM are those presented on the consolidated statements of operations and comprehensive loss. These significant segment expenses include cost of revenue, selling, general and administrative, and research and development expenses. Other segment items that are presented on the consolidated statements of operations and comprehensive loss include other income, other expenses, and income tax expenses.</w:t>
      </w:r>
    </w:p>
    <w:p>
      <w:pPr>
        <w:spacing w:after="0" w:line="183"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did not have any significant capital commitments, long-term obligations, pending litigation or guarantees as of September 30, 2025.</w:t>
      </w:r>
    </w:p>
    <w:p>
      <w:pPr>
        <w:spacing w:after="0" w:line="2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22, 2025, the Company entered into a definitive agreement with Youxin Technology Ltd. (“Youxin Technology”), principally engaged in a professional and highly intelligent PaaS (Platform as a Service) provider capable of providing customized system development services and subsequent services to its customers. On October 29, 2025 (the “Closing Date”), Youxin Technology completed an acquisition (the “Acquisition”) of the Company. After the Acquisition, Youxin Technology acquired 51% of the equity interests in the Company in consideration of the sum of RMB5,236,680 in cash (approximately $736,461), plus equity and cash incentives (upon the achievement of performance targets), subject to certain terms.</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date of this report, RMB3,000,000 of the fixed consideration has been paid in two installments of RMB1,500,000 each, on September 25, 2025 and November 11, 2025, respectively. The remaining fixed consideration of RMB2,236,680, together with any variable consideration, is scheduled to be paid in two phases: the first phase includes a fixed portion of RMB1,118,340 plus a variable portion, to be paid by December 31, 2026; the second phase includes a fixed portion of RMB1,118,340 plus a variable portion, to be paid by December 31, 2027. The specific amount of the variable consideration will be determined by Youxin Technology based on the operating performance of the Company.</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2026, the Company obtained a loan amounting to RMB2,000,000 from Industrial and Commercial Bank of China.</w:t>
      </w:r>
    </w:p>
    <w:p>
      <w:pPr>
        <w:spacing w:after="0" w:line="225"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for the disclosure above, the Group evaluated subsequent events through the date that the consolidated financial statements are available to be issued, and concluded that no other subsequent events have occurred that would require recognition or disclosure in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29, 2025, Youxin Technology Ltd (“Youxin” or the “Company”) completed the acquisition of 51% equity interest of Celnet Technology Co., Ltd. (“Celnet BJ”), PRC-based provider of customer relationship management (CRM) system consulting, implementation, and development services through cloud computing solutions, for US$736,461. The following unaudited pro forma condensed combined financial information has been prepared to give effect to the acquisition by Youxin using the acquisition method of accounting with the assumptions and adjustments described in the accompanying notes to the unaudited pro forma combined financial information.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for the year ended September 30, 2025 combine the historical statements of operations of Youxin and Celnet BJ, adjusted to reflect the pro forma effect as if the acquisition of Youxin occurred on October 1, 2024 (the first day of the Company’s 2025 fiscal year). The unaudited pro forma condensed combined balance sheet combines the historical balance sheets of Youxin and Celnet BJ as of September 30, 2025 and reflects the pro forma effect as if the acquisition of Youxin occurred on that date. Youxin’s historical consolidated financial statement referred to above were included in its Annual Report on Form 20-F for the year ended September 30, 2025. Celnet BJ’s historical financial statements referred to above for Celnet BJ for the comparable periods are included in this Report of Foreign Private Issuer on Form 6-K. The accompanying unaudited pro forma condensed combined financial information and the historical consolidated financial information presented therein should be read in conjunction with the historical consolidated financial statements and notes thereto for Youxin described above. The historical statements of Celnet BJ have been adjusted to conform to the Company’s financial statement presentation.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and statements of operations include pro forma adjustments which reflect transactions and events that are directly attributed to the acquisition and factually supportable with respect to the statement of operations, and are expected to have a continuing impact on the consolidated results. The pro forma adjustments are described in the accompanying combined notes to the unaudited pro forma combined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for the year end September 30, 2025 is presented for illustrative purposes only and is not necessarily indicative of the results of operations that would have actually been reported had the acquisition occurred on October 1, 2024, nor is it necessarily indicative of the future results of the operations. The unaudited pro forma condensed combined statements of operations and proforma condensed combined balance sheet include adjustments to reflect the allocation of the purchase price to the acquired assets and assumed liabilities of Celnet BJ.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4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Pr>
          <w:p>
            <w:pPr>
              <w:spacing w:after="0"/>
              <w:rPr>
                <w:sz w:val="20"/>
                <w:szCs w:val="20"/>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7"/>
              </w:rPr>
              <w:t>3(A) Youxin</w:t>
            </w: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3(B) Celnet BJ</w:t>
            </w:r>
          </w:p>
        </w:tc>
        <w:tc>
          <w:tcPr>
            <w:tcW w:w="1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9,912,326</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168,909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10,081,235</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24,298</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24,298</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213,772</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550,947</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764,719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due from related parties</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17,486</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17,486</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costs</w:t>
            </w:r>
          </w:p>
        </w:tc>
        <w:tc>
          <w:tcPr>
            <w:tcW w:w="8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13,103</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260,305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260,305</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295,559</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28,180</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323,739</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10,476,544</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1,008,341</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11,484,885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2,519</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378,002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378,002</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78,862</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110,967</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189,829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 for acquisition</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210,704</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(210,704)</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8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10,457</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8,013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8,013</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1,967,495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1,967,495</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302,542</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502,527</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1,756,791</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2,561,860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10,779,086</w:t>
            </w:r>
          </w:p>
        </w:tc>
        <w:tc>
          <w:tcPr>
            <w:tcW w:w="3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1,510,868</w:t>
            </w:r>
          </w:p>
        </w:tc>
        <w:tc>
          <w:tcPr>
            <w:tcW w:w="3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1,756,791</w:t>
            </w:r>
          </w:p>
        </w:tc>
        <w:tc>
          <w:tcPr>
            <w:tcW w:w="18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14,046,745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 term loans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318,865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309,032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627,897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34,190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26,279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60,469</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8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30,024</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65,893</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95,917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87,439</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108,417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525,759</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721,615</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Payroll payable</w:t>
            </w:r>
          </w:p>
        </w:tc>
        <w:tc>
          <w:tcPr>
            <w:tcW w:w="8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1,134,532</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741,074</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1,875,606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902,287</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902,287</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8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463,917</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463,917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46,190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52,098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98,288</w:t>
            </w:r>
          </w:p>
        </w:tc>
        <w:tc>
          <w:tcPr>
            <w:tcW w:w="0" w:type="dxa"/>
            <w:vAlign w:val="bottom"/>
          </w:tcPr>
          <w:p>
            <w:pPr>
              <w:spacing w:after="0"/>
              <w:rPr>
                <w:sz w:val="1"/>
                <w:szCs w:val="1"/>
                <w:color w:val="auto"/>
              </w:rPr>
            </w:pPr>
          </w:p>
        </w:tc>
      </w:tr>
      <w:tr>
        <w:trPr>
          <w:trHeight w:val="21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2,553,527</w:t>
            </w: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1,766,710</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525,759</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4,845,996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 term loan</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68,830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68,830</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8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35,306</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53,502</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88,808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35,306</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122,332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157,638</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2,588,833</w:t>
            </w:r>
          </w:p>
        </w:tc>
        <w:tc>
          <w:tcPr>
            <w:tcW w:w="3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1,889,042</w:t>
            </w:r>
          </w:p>
        </w:tc>
        <w:tc>
          <w:tcPr>
            <w:tcW w:w="3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525,759</w:t>
            </w:r>
          </w:p>
        </w:tc>
        <w:tc>
          <w:tcPr>
            <w:tcW w:w="18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5,003,634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Youxin Class A Ordinary shares, $0.0001 par value</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18,604</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18,649</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Youxin Class B Ordinary stock, $0.0001 par value</w:t>
            </w:r>
          </w:p>
        </w:tc>
        <w:tc>
          <w:tcPr>
            <w:tcW w:w="8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Celnet BJ, $0.15 (RMB1) par value</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1,553,439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(1,553,439)</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32,614,603</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33,766</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966,189</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33,614,558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(25,065,899)</w:t>
            </w: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(1,814,401)</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1,870,660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(25,009,640)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8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622,050</w:t>
            </w:r>
          </w:p>
        </w:tc>
        <w:tc>
          <w:tcPr>
            <w:tcW w:w="1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(150,978)</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151,169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622,241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(203,592)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(203,592)</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8,190,253</w:t>
            </w:r>
          </w:p>
        </w:tc>
        <w:tc>
          <w:tcPr>
            <w:tcW w:w="3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(378,174)</w:t>
            </w:r>
          </w:p>
        </w:tc>
        <w:tc>
          <w:tcPr>
            <w:tcW w:w="3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1,231,032</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9,043,111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10,779,086</w:t>
            </w:r>
          </w:p>
        </w:tc>
        <w:tc>
          <w:tcPr>
            <w:tcW w:w="3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1,510,868</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1,756,791</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14,046,745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ind w:left="4440" w:right="2040" w:hanging="2388"/>
        <w:spacing w:after="0" w:line="263"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year ended September 30,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22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7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4(A) Youxin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w w:val="99"/>
              </w:rPr>
              <w:t>4(B) Celnet BJ</w:t>
            </w: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539,474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2,829,958</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3,369,432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Pr>
          <w:p>
            <w:pPr>
              <w:spacing w:after="0"/>
              <w:rPr>
                <w:sz w:val="18"/>
                <w:szCs w:val="18"/>
                <w:color w:val="auto"/>
              </w:rPr>
            </w:pPr>
          </w:p>
        </w:tc>
        <w:tc>
          <w:tcPr>
            <w:tcW w:w="14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(359,509)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(1,611,865)</w:t>
            </w:r>
          </w:p>
        </w:tc>
        <w:tc>
          <w:tcPr>
            <w:tcW w:w="122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(1,971,374)</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179,965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1,218,093</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1,398,058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40" w:type="dxa"/>
            <w:vAlign w:val="bottom"/>
          </w:tcPr>
          <w:p>
            <w:pPr>
              <w:spacing w:after="0"/>
              <w:rPr>
                <w:sz w:val="18"/>
                <w:szCs w:val="18"/>
                <w:color w:val="auto"/>
              </w:rPr>
            </w:pPr>
          </w:p>
        </w:tc>
        <w:tc>
          <w:tcPr>
            <w:tcW w:w="14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(130,792)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(294,799)</w:t>
            </w:r>
          </w:p>
        </w:tc>
        <w:tc>
          <w:tcPr>
            <w:tcW w:w="122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( 425,591)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(2,746,298)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(462,473)</w:t>
            </w:r>
          </w:p>
        </w:tc>
        <w:tc>
          <w:tcPr>
            <w:tcW w:w="1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(3,208,771)</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Pr>
          <w:p>
            <w:pPr>
              <w:spacing w:after="0"/>
              <w:rPr>
                <w:sz w:val="18"/>
                <w:szCs w:val="18"/>
                <w:color w:val="auto"/>
              </w:rPr>
            </w:pPr>
          </w:p>
        </w:tc>
        <w:tc>
          <w:tcPr>
            <w:tcW w:w="14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(158,190)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(56,464)</w:t>
            </w:r>
          </w:p>
        </w:tc>
        <w:tc>
          <w:tcPr>
            <w:tcW w:w="122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(214,654)</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(3,035,280)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(813,736)</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(3,849,016)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(2,855,315)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404,357</w:t>
            </w:r>
          </w:p>
        </w:tc>
        <w:tc>
          <w:tcPr>
            <w:tcW w:w="1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(2,450,958)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18"/>
                <w:szCs w:val="18"/>
                <w:color w:val="auto"/>
              </w:rPr>
            </w:pPr>
          </w:p>
        </w:tc>
        <w:tc>
          <w:tcPr>
            <w:tcW w:w="14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5,509</w:t>
            </w:r>
          </w:p>
        </w:tc>
        <w:tc>
          <w:tcPr>
            <w:tcW w:w="122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(24,271)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(2,069)</w:t>
            </w:r>
          </w:p>
        </w:tc>
        <w:tc>
          <w:tcPr>
            <w:tcW w:w="1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(26,340)</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4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(15,536)</w:t>
            </w:r>
          </w:p>
        </w:tc>
        <w:tc>
          <w:tcPr>
            <w:tcW w:w="122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(15,536)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Investments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(2,736,514)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(2,736,514)</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warrant liabilities</w:t>
            </w:r>
          </w:p>
        </w:tc>
        <w:tc>
          <w:tcPr>
            <w:tcW w:w="140" w:type="dxa"/>
            <w:vAlign w:val="bottom"/>
          </w:tcPr>
          <w:p>
            <w:pPr>
              <w:spacing w:after="0"/>
              <w:rPr>
                <w:sz w:val="18"/>
                <w:szCs w:val="18"/>
                <w:color w:val="auto"/>
              </w:rPr>
            </w:pPr>
          </w:p>
        </w:tc>
        <w:tc>
          <w:tcPr>
            <w:tcW w:w="14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2,647,942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2,647,942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 allocated to warrant liabilities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(876,282)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(876,282)</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issuance of warrant liabilities</w:t>
            </w:r>
          </w:p>
        </w:tc>
        <w:tc>
          <w:tcPr>
            <w:tcW w:w="140" w:type="dxa"/>
            <w:vAlign w:val="bottom"/>
          </w:tcPr>
          <w:p>
            <w:pPr>
              <w:spacing w:after="0"/>
              <w:rPr>
                <w:sz w:val="18"/>
                <w:szCs w:val="18"/>
                <w:color w:val="auto"/>
              </w:rPr>
            </w:pPr>
          </w:p>
        </w:tc>
        <w:tc>
          <w:tcPr>
            <w:tcW w:w="14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(5,802,241)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(5,802,241)</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(6,790,828)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(12,096</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(6,802,924)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(9,646,143)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392,261</w:t>
            </w:r>
          </w:p>
        </w:tc>
        <w:tc>
          <w:tcPr>
            <w:tcW w:w="1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(9,253,882)</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18"/>
                <w:szCs w:val="18"/>
                <w:color w:val="auto"/>
              </w:rPr>
            </w:pPr>
          </w:p>
        </w:tc>
        <w:tc>
          <w:tcPr>
            <w:tcW w:w="14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(83,040)</w:t>
            </w:r>
          </w:p>
        </w:tc>
        <w:tc>
          <w:tcPr>
            <w:tcW w:w="122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(83,040)</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(9,646,143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309,221</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(9,336,922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outstanding -</w:t>
            </w:r>
          </w:p>
        </w:tc>
        <w:tc>
          <w:tcPr>
            <w:tcW w:w="14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9,311,589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9,311,589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per ordinary share - basic and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based upon the historical consolidated financial statements of Youxin which were included in its Annual Report on Form 20-F for the year ended September 30, 2025 and Celnet BJ financial statements for the comparable periods are included in this Report of Foreign Private Issuer on Form 6-K. The unaudited pro forma condensed combined statements of operations for the year end September 30, 2025 combine the historical statements of operations of Youxin and Celnet BJ, adjusted to reflect the pro forma effect as if the acquisition of Youxin occurred on October 1, 2024 (the first day of the Company’s 2025 fiscal year). The unaudited pro forma condensed combined balance sheet combines the historical balance sheets of Youxin and Celnet BJ as of September 30, 2025 and reflects the pro forma effect as if the acquisition of Youxin occurred on that date.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generally accepted accounting principle, the acquisition of Celnet BJ by Youxin is being accounted for using the acquisition method of accounting. As a result, the unaudited condensed combined balance sheet has been adjusted to reflect the allocation of the purchase price to the identified assets and assumed liabilities based upon the Company’s fair value assessment and the excess purchase price to goodwill. The purchase price allocation in these unaudited pro forma combined financial statements is based upon the purchase price of US$736,461.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consummation of the Business Combination, management will perform a comprehensive review of the two entities’ accounting policies. As a result of the review, management may identify differences between the accounting policies of the two entities which, when conformed, could have a material impact on the financial statements of the Post-Combination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ADJUSTMENTS TO UNAUDITED PRO FORMA CONDENSED COMBINED BALANCE SHEET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notes: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3(A)</w:t>
      </w:r>
      <w:r>
        <w:rPr>
          <w:sz w:val="20"/>
          <w:szCs w:val="20"/>
          <w:color w:val="auto"/>
        </w:rPr>
        <w:tab/>
      </w:r>
      <w:r>
        <w:rPr>
          <w:rFonts w:ascii="Times New Roman" w:cs="Times New Roman" w:eastAsia="Times New Roman" w:hAnsi="Times New Roman"/>
          <w:sz w:val="18"/>
          <w:szCs w:val="18"/>
          <w:color w:val="auto"/>
        </w:rPr>
        <w:t>Derived from the unaudited consolidated balance sheet of Youxin as of September 30, 2025.</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3(B)</w:t>
      </w:r>
      <w:r>
        <w:rPr>
          <w:sz w:val="20"/>
          <w:szCs w:val="20"/>
          <w:color w:val="auto"/>
        </w:rPr>
        <w:tab/>
      </w:r>
      <w:r>
        <w:rPr>
          <w:rFonts w:ascii="Times New Roman" w:cs="Times New Roman" w:eastAsia="Times New Roman" w:hAnsi="Times New Roman"/>
          <w:sz w:val="18"/>
          <w:szCs w:val="18"/>
          <w:color w:val="auto"/>
        </w:rPr>
        <w:t>Derived from the unaudited balance sheet of Celnet BJ as of September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Balance Sheet Transaction Accounting Adjustments: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3(a)</w:t>
      </w:r>
      <w:r>
        <w:rPr>
          <w:sz w:val="20"/>
          <w:szCs w:val="20"/>
          <w:color w:val="auto"/>
        </w:rPr>
        <w:tab/>
      </w:r>
      <w:r>
        <w:rPr>
          <w:rFonts w:ascii="Times New Roman" w:cs="Times New Roman" w:eastAsia="Times New Roman" w:hAnsi="Times New Roman"/>
          <w:sz w:val="18"/>
          <w:szCs w:val="18"/>
          <w:color w:val="auto"/>
        </w:rPr>
        <w:t>Derecognition of prepayment of acquisition after the completion of the acquisition</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3(b)</w:t>
      </w:r>
      <w:r>
        <w:rPr>
          <w:sz w:val="20"/>
          <w:szCs w:val="20"/>
          <w:color w:val="auto"/>
        </w:rPr>
        <w:tab/>
      </w:r>
      <w:r>
        <w:rPr>
          <w:rFonts w:ascii="Times New Roman" w:cs="Times New Roman" w:eastAsia="Times New Roman" w:hAnsi="Times New Roman"/>
          <w:sz w:val="18"/>
          <w:szCs w:val="18"/>
          <w:color w:val="auto"/>
        </w:rPr>
        <w:t>Accrual of the outstanding acquisition consideration not yet paid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3(c)</w:t>
      </w:r>
      <w:r>
        <w:rPr>
          <w:sz w:val="20"/>
          <w:szCs w:val="20"/>
          <w:color w:val="auto"/>
        </w:rPr>
        <w:tab/>
      </w:r>
      <w:r>
        <w:rPr>
          <w:rFonts w:ascii="Times New Roman" w:cs="Times New Roman" w:eastAsia="Times New Roman" w:hAnsi="Times New Roman"/>
          <w:sz w:val="18"/>
          <w:szCs w:val="18"/>
          <w:color w:val="auto"/>
        </w:rPr>
        <w:t>Shares issued to the original shareholder of Celnet BJ as an incentive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3(d)</w:t>
      </w:r>
      <w:r>
        <w:rPr>
          <w:sz w:val="20"/>
          <w:szCs w:val="20"/>
          <w:color w:val="auto"/>
        </w:rPr>
        <w:tab/>
      </w:r>
      <w:r>
        <w:rPr>
          <w:rFonts w:ascii="Times New Roman" w:cs="Times New Roman" w:eastAsia="Times New Roman" w:hAnsi="Times New Roman"/>
          <w:sz w:val="18"/>
          <w:szCs w:val="18"/>
          <w:color w:val="auto"/>
        </w:rPr>
        <w:t>Elimination of the contributed capital of Celnet BJ</w:t>
      </w:r>
    </w:p>
    <w:p>
      <w:pPr>
        <w:spacing w:after="0" w:line="225" w:lineRule="exact"/>
        <w:rPr>
          <w:sz w:val="20"/>
          <w:szCs w:val="20"/>
          <w:color w:val="auto"/>
        </w:rPr>
      </w:pPr>
    </w:p>
    <w:p>
      <w:pPr>
        <w:jc w:val="both"/>
        <w:ind w:left="660" w:hanging="65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3(e)</w:t>
      </w:r>
      <w:r>
        <w:rPr>
          <w:sz w:val="20"/>
          <w:szCs w:val="20"/>
          <w:color w:val="auto"/>
        </w:rPr>
        <w:tab/>
      </w:r>
      <w:r>
        <w:rPr>
          <w:rFonts w:ascii="Times New Roman" w:cs="Times New Roman" w:eastAsia="Times New Roman" w:hAnsi="Times New Roman"/>
          <w:sz w:val="18"/>
          <w:szCs w:val="18"/>
          <w:color w:val="auto"/>
        </w:rPr>
        <w:t>Elimination of the additional paid-in capital of Celnet BJ. The excess of the consideration of the share incentive to the original shareholder of Celnet BJ over the value of the Class A Ordinary shares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NOTE 4. ADJUSTMENTS TO UNAUDITED PRO FORMA CONDENSED COMBINED STATEMENT OF OPERATIONS FOR THE YEAR ENDED SEPTEMBER 30, 2025</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notes: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4(A)</w:t>
      </w:r>
      <w:r>
        <w:rPr>
          <w:sz w:val="20"/>
          <w:szCs w:val="20"/>
          <w:color w:val="auto"/>
        </w:rPr>
        <w:tab/>
      </w:r>
      <w:r>
        <w:rPr>
          <w:rFonts w:ascii="Times New Roman" w:cs="Times New Roman" w:eastAsia="Times New Roman" w:hAnsi="Times New Roman"/>
          <w:sz w:val="18"/>
          <w:szCs w:val="18"/>
          <w:color w:val="auto"/>
        </w:rPr>
        <w:t>Derived from the unaudited consolidated statement of operations and comprehensive loss of Youxin for the year ended September 30, 2025.</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4(B)</w:t>
      </w:r>
      <w:r>
        <w:rPr>
          <w:sz w:val="20"/>
          <w:szCs w:val="20"/>
          <w:color w:val="auto"/>
        </w:rPr>
        <w:tab/>
      </w:r>
      <w:r>
        <w:rPr>
          <w:rFonts w:ascii="Times New Roman" w:cs="Times New Roman" w:eastAsia="Times New Roman" w:hAnsi="Times New Roman"/>
          <w:sz w:val="18"/>
          <w:szCs w:val="18"/>
          <w:color w:val="auto"/>
        </w:rPr>
        <w:t>Derived from the unaudited statement of operations and comprehensive income of Celnet BJ for the year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2"/>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1."/>
      <w:numFmt w:val="decimal"/>
      <w:start w:val="2"/>
    </w:lvl>
    <w:lvl w:ilvl="1">
      <w:lvlJc w:val="left"/>
      <w:lvlText w:val="●"/>
      <w:numFmt w:val="bullet"/>
      <w:start w:val="1"/>
    </w:lvl>
  </w:abstractNum>
  <w:abstractNum w:abstractNumId="4">
    <w:nsid w:val="4E6AFB66"/>
    <w:multiLevelType w:val="hybridMultilevel"/>
    <w:lvl w:ilvl="0">
      <w:lvlJc w:val="left"/>
      <w:lvlText w:val="%1."/>
      <w:numFmt w:val="decimal"/>
      <w:start w:val="2"/>
    </w:lvl>
  </w:abstractNum>
  <w:abstractNum w:abstractNumId="5">
    <w:nsid w:val="25E45D32"/>
    <w:multiLevelType w:val="hybridMultilevel"/>
    <w:lvl w:ilvl="0">
      <w:lvlJc w:val="left"/>
      <w:lvlText w:val="%1."/>
      <w:numFmt w:val="decimal"/>
      <w:start w:val="2"/>
    </w:lvl>
  </w:abstractNum>
  <w:abstractNum w:abstractNumId="6">
    <w:nsid w:val="519B500D"/>
    <w:multiLevelType w:val="hybridMultilevel"/>
    <w:lvl w:ilvl="0">
      <w:lvlJc w:val="left"/>
      <w:lvlText w:val="(%1)"/>
      <w:numFmt w:val="lowerRoman"/>
      <w:start w:val="1"/>
    </w:lvl>
  </w:abstractNum>
  <w:abstractNum w:abstractNumId="7">
    <w:nsid w:val="431BD7B7"/>
    <w:multiLevelType w:val="hybridMultilevel"/>
    <w:lvl w:ilvl="0">
      <w:lvlJc w:val="left"/>
      <w:lvlText w:val="(%1)"/>
      <w:numFmt w:val="lowerRoman"/>
      <w:start w:val="2"/>
    </w:lvl>
  </w:abstractNum>
  <w:abstractNum w:abstractNumId="8">
    <w:nsid w:val="3F2DBA31"/>
    <w:multiLevelType w:val="hybridMultilevel"/>
    <w:lvl w:ilvl="0">
      <w:lvlJc w:val="left"/>
      <w:lvlText w:val="%1."/>
      <w:numFmt w:val="decimal"/>
      <w:start w:val="2"/>
    </w:lvl>
    <w:lvl w:ilvl="1">
      <w:lvlJc w:val="left"/>
      <w:lvlText w:val="(%2)"/>
      <w:numFmt w:val="lowerRoman"/>
      <w:start w:val="3"/>
    </w:lvl>
  </w:abstractNum>
  <w:abstractNum w:abstractNumId="9">
    <w:nsid w:val="7C83E458"/>
    <w:multiLevelType w:val="hybridMultilevel"/>
    <w:lvl w:ilvl="0">
      <w:lvlJc w:val="left"/>
      <w:lvlText w:val="(%1)"/>
      <w:numFmt w:val="lowerRoman"/>
      <w:start w:val="4"/>
    </w:lvl>
  </w:abstractNum>
  <w:abstractNum w:abstractNumId="10">
    <w:nsid w:val="257130A3"/>
    <w:multiLevelType w:val="hybridMultilevel"/>
    <w:lvl w:ilvl="0">
      <w:lvlJc w:val="left"/>
      <w:lvlText w:val="(%1)"/>
      <w:numFmt w:val="lowerRoman"/>
      <w:start w:val="5"/>
    </w:lvl>
  </w:abstractNum>
  <w:abstractNum w:abstractNumId="11">
    <w:nsid w:val="62BBD95A"/>
    <w:multiLevelType w:val="hybridMultilevel"/>
    <w:lvl w:ilvl="0">
      <w:lvlJc w:val="left"/>
      <w:lvlText w:val="%1."/>
      <w:numFmt w:val="decimal"/>
      <w:start w:val="2"/>
    </w:lvl>
  </w:abstractNum>
  <w:abstractNum w:abstractNumId="12">
    <w:nsid w:val="436C6125"/>
    <w:multiLevelType w:val="hybridMultilevel"/>
    <w:lvl w:ilvl="0">
      <w:lvlJc w:val="left"/>
      <w:lvlText w:val="(%1)"/>
      <w:numFmt w:val="lowerLetter"/>
      <w:start w:val="13"/>
    </w:lvl>
  </w:abstractNum>
  <w:abstractNum w:abstractNumId="13">
    <w:nsid w:val="628C895D"/>
    <w:multiLevelType w:val="hybridMultilevel"/>
    <w:lvl w:ilvl="0">
      <w:lvlJc w:val="left"/>
      <w:lvlText w:val="%1."/>
      <w:numFmt w:val="decimal"/>
      <w:start w:val="2"/>
    </w:lvl>
  </w:abstractNum>
  <w:abstractNum w:abstractNumId="14">
    <w:nsid w:val="333AB105"/>
    <w:multiLevelType w:val="hybridMultilevel"/>
    <w:lvl w:ilvl="0">
      <w:lvlJc w:val="left"/>
      <w:lvlText w:val="%1."/>
      <w:numFmt w:val="decimal"/>
      <w:start w:val="2"/>
    </w:lvl>
  </w:abstractNum>
  <w:abstractNum w:abstractNumId="15">
    <w:nsid w:val="721DA317"/>
    <w:multiLevelType w:val="hybridMultilevel"/>
    <w:lvl w:ilvl="0">
      <w:lvlJc w:val="left"/>
      <w:lvlText w:val="%1."/>
      <w:numFmt w:val="decimal"/>
      <w:start w:val="2"/>
    </w:lvl>
  </w:abstractNum>
  <w:abstractNum w:abstractNumId="16">
    <w:nsid w:val="2443A858"/>
    <w:multiLevelType w:val="hybridMultilevel"/>
    <w:lvl w:ilvl="0">
      <w:lvlJc w:val="left"/>
      <w:lvlText w:val="%1."/>
      <w:numFmt w:val="decimal"/>
      <w:start w:val="4"/>
    </w:lvl>
  </w:abstractNum>
  <w:abstractNum w:abstractNumId="17">
    <w:nsid w:val="2D1D5AE9"/>
    <w:multiLevelType w:val="hybridMultilevel"/>
    <w:lvl w:ilvl="0">
      <w:lvlJc w:val="left"/>
      <w:lvlText w:val="%1."/>
      <w:numFmt w:val="decimal"/>
      <w:start w:val="6"/>
    </w:lvl>
  </w:abstractNum>
  <w:abstractNum w:abstractNumId="18">
    <w:nsid w:val="6763845E"/>
    <w:multiLevelType w:val="hybridMultilevel"/>
    <w:lvl w:ilvl="0">
      <w:lvlJc w:val="left"/>
      <w:lvlText w:val="%1."/>
      <w:numFmt w:val="decimal"/>
      <w:start w:val="7"/>
    </w:lvl>
  </w:abstractNum>
  <w:abstractNum w:abstractNumId="19">
    <w:nsid w:val="75A2A8D4"/>
    <w:multiLevelType w:val="hybridMultilevel"/>
    <w:lvl w:ilvl="0">
      <w:lvlJc w:val="left"/>
      <w:lvlText w:val="%1."/>
      <w:numFmt w:val="decimal"/>
      <w:start w:val="8"/>
    </w:lvl>
  </w:abstractNum>
  <w:abstractNum w:abstractNumId="20">
    <w:nsid w:val="8EDBDAB"/>
    <w:multiLevelType w:val="hybridMultilevel"/>
    <w:lvl w:ilvl="0">
      <w:lvlJc w:val="left"/>
      <w:lvlText w:val="%1."/>
      <w:numFmt w:val="decimal"/>
      <w:start w:val="9"/>
    </w:lvl>
  </w:abstractNum>
  <w:abstractNum w:abstractNumId="21">
    <w:nsid w:val="79838CB2"/>
    <w:multiLevelType w:val="hybridMultilevel"/>
    <w:lvl w:ilvl="0">
      <w:lvlJc w:val="left"/>
      <w:lvlText w:val="%1."/>
      <w:numFmt w:val="decimal"/>
      <w:start w:val="10"/>
    </w:lvl>
  </w:abstractNum>
  <w:abstractNum w:abstractNumId="22">
    <w:nsid w:val="4353D0CD"/>
    <w:multiLevelType w:val="hybridMultilevel"/>
    <w:lvl w:ilvl="0">
      <w:lvlJc w:val="left"/>
      <w:lvlText w:val="%1."/>
      <w:numFmt w:val="decimal"/>
      <w:start w:val="10"/>
    </w:lvl>
  </w:abstractNum>
  <w:abstractNum w:abstractNumId="23">
    <w:nsid w:val="B03E0C6"/>
    <w:multiLevelType w:val="hybridMultilevel"/>
    <w:lvl w:ilvl="0">
      <w:lvlJc w:val="left"/>
      <w:lvlText w:val="%1."/>
      <w:numFmt w:val="decimal"/>
      <w:start w:val="11"/>
    </w:lvl>
  </w:abstractNum>
  <w:abstractNum w:abstractNumId="24">
    <w:nsid w:val="189A769B"/>
    <w:multiLevelType w:val="hybridMultilevel"/>
    <w:lvl w:ilvl="0">
      <w:lvlJc w:val="left"/>
      <w:lvlText w:val="%1."/>
      <w:numFmt w:val="decimal"/>
      <w:start w:val="12"/>
    </w:lvl>
  </w:abstractNum>
  <w:abstractNum w:abstractNumId="25">
    <w:nsid w:val="54E49EB4"/>
    <w:multiLevelType w:val="hybridMultilevel"/>
    <w:lvl w:ilvl="0">
      <w:lvlJc w:val="left"/>
      <w:lvlText w:val="%1."/>
      <w:numFmt w:val="decimal"/>
      <w:start w:val="14"/>
    </w:lvl>
  </w:abstractNum>
  <w:abstractNum w:abstractNumId="26">
    <w:nsid w:val="71F32454"/>
    <w:multiLevelType w:val="hybridMultilevel"/>
    <w:lvl w:ilvl="0">
      <w:lvlJc w:val="left"/>
      <w:lvlText w:val="%1."/>
      <w:numFmt w:val="decimal"/>
      <w:start w:val="14"/>
    </w:lvl>
  </w:abstractNum>
  <w:abstractNum w:abstractNumId="27">
    <w:nsid w:val="2CA88611"/>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2026-04-21T05:15:05Z</dcterms:created>
  <dcterms:modified xsi:type="dcterms:W3CDTF">2026-04-21T05:15:05Z</dcterms:modified>
</cp:coreProperties>
</file>