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f-3.htm"/>
      <w:bookmarkStart w:id="1" w:name="ksformf3"/>
      <w:bookmarkEnd w:id="0"/>
      <w:bookmarkEnd w:id="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11,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YOUXIN TECHNOLOGY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6750" w:type="dxa"/>
        <w:jc w:val="left"/>
        <w:tblInd w:w="0" w:type="dxa"/>
        <w:tblLayout w:type="fixed"/>
        <w:tblCellMar>
          <w:top w:w="0" w:type="dxa"/>
          <w:left w:w="0" w:type="dxa"/>
          <w:bottom w:w="28" w:type="dxa"/>
          <w:right w:w="0" w:type="dxa"/>
        </w:tblCellMar>
      </w:tblPr>
      <w:tblGrid>
        <w:gridCol w:w="2495"/>
        <w:gridCol w:w="60"/>
        <w:gridCol w:w="224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into English)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tbl>
      <w:tblPr>
        <w:tblW w:w="8170" w:type="dxa"/>
        <w:jc w:val="left"/>
        <w:tblInd w:w="0" w:type="dxa"/>
        <w:tblLayout w:type="fixed"/>
        <w:tblCellMar>
          <w:top w:w="0" w:type="dxa"/>
          <w:left w:w="0" w:type="dxa"/>
          <w:bottom w:w="28" w:type="dxa"/>
          <w:right w:w="0" w:type="dxa"/>
        </w:tblCellMar>
      </w:tblPr>
      <w:tblGrid>
        <w:gridCol w:w="4775"/>
        <w:gridCol w:w="60"/>
        <w:gridCol w:w="3335"/>
      </w:tblGrid>
      <w:tr>
        <w:trPr/>
        <w:tc>
          <w:tcPr>
            <w:tcW w:w="477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1005, 1006, 1007, No. 122 Huangpu Avenue West,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Tianhe District, Guangzhou, Guangdong Province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13631357745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3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(302) 738-6680</w:t>
            </w:r>
          </w:p>
        </w:tc>
      </w:tr>
      <w:tr>
        <w:trPr/>
        <w:tc>
          <w:tcPr>
            <w:tcW w:w="47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agent for service)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Anthony W. Basch,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 W. Powell Jr.,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Kaufman &amp; Canoles P.C.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James Center, 14th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1021 East Cary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Richmond, Virginia 23219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(804) 771-5700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 as determined by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will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caps w:val="false"/>
          <w:smallCaps w:val="false"/>
          <w:color w:val="FF0000"/>
        </w:rPr>
      </w:pPr>
      <w:r>
        <w:rPr>
          <w:caps w:val="false"/>
          <w:smallCaps w:val="false"/>
          <w:color w:val="FF0000"/>
        </w:rPr>
        <w:t> </w:t>
      </w:r>
    </w:p>
    <w:tbl>
      <w:tblPr>
        <w:tblW w:w="6885" w:type="dxa"/>
        <w:jc w:val="left"/>
        <w:tblInd w:w="0" w:type="dxa"/>
        <w:tblLayout w:type="fixed"/>
        <w:tblCellMar>
          <w:top w:w="0" w:type="dxa"/>
          <w:left w:w="0" w:type="dxa"/>
          <w:bottom w:w="0" w:type="dxa"/>
          <w:right w:w="0" w:type="dxa"/>
        </w:tblCellMar>
      </w:tblPr>
      <w:tblGrid>
        <w:gridCol w:w="2750"/>
        <w:gridCol w:w="2630"/>
        <w:gridCol w:w="1505"/>
      </w:tblGrid>
      <w:tr>
        <w:trPr/>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752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Contracts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Units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on terms we may determine at the time of offering, any combination of Class A ordinary shares of par value $0.008 per share of the Company (the “Class A Shares”), warrants, rights, share purchase contracts, share purchase units or units (collectively, the “Securities”) having an aggregate initial offering price of up to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specific terms of these Securities in supplements to this prospectus. The prospectus supplement may also add, update or change information in this prospectus. Before you invest, we urge you to read carefully this prospectus and any prospectus supplement, as well as the documents incorporated by reference or deemed to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Shares are listed on the NASDAQ Capital Market under the symbol “YAAS”. On May 8, 2026, the closing sale price of our Class A hares as reported by the NASDAQ Capital Market was $0.96. We have not offered any securities pursuant to General Instruction I.B.5 of Form F-3 during the prior 12 calendar month period that ends on and includes the date of this prospectus. We will provide information in any applicable prospectus supplement regarding any listing of securities other than our Class A Shares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“we”, “us”, “our Company,” “the Company,” or “our” are to Youxin Technology Ltd and its subsidiaries. “RMB,” “Renminbi” and “¥” are to the legal currency of China and all references to “USD,” “U.S. dollars,” “dollars,” and “$” are to the legal currency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shares, the Class A Shares being offered and the Class B Ordinary Shares, par value $0.0001 per share (“Class B Shares”). The rights of holders of our Class A Shares and holders of our Class B Shares are essentially identical except for voting and conversion rights. The holders of Class A Shares are entitled to 1 vote per share and the holders of the Class B Shares are entitled to 20 votes per share. Each Class B Share is convertible into one Class A Share under certain circumstances. See “Description of Share Capital” for more information on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voting trust known as the Youxin BM Trust, with Kastle Limited as the Trustee, owns and will continue to own at least 50% of the voting power of our Company after the closing of this offering; therefore we are a “controlled company” as defined under Nasdaq Listing Rules. Additionally, our founding shareholder and Chief Executive Officer, Mr. Shaozhang Lin, beneficially owned 61.75 % of our total voting power through his beneficial ownership of 49,287 Class A Shares and 5,605,727 Class B Shares; and all of which had been transferred to Youxin BM Trust. See </w:t>
      </w:r>
      <w:r>
        <w:rPr>
          <w:rFonts w:ascii="Times New Roman;Times;Serif" w:hAnsi="Times New Roman;Times;Serif"/>
          <w:b w:val="false"/>
          <w:i/>
          <w:caps w:val="false"/>
          <w:smallCaps w:val="false"/>
          <w:sz w:val="20"/>
        </w:rPr>
        <w:t xml:space="preserve">Implications of Being a Controlled Company </w:t>
      </w:r>
      <w:r>
        <w:rPr>
          <w:rFonts w:ascii="Times New Roman;Times;Serif" w:hAnsi="Times New Roman;Times;Serif"/>
          <w:b w:val="false"/>
          <w:i w:val="false"/>
          <w:caps w:val="false"/>
          <w:smallCaps w:val="false"/>
          <w:sz w:val="20"/>
        </w:rPr>
        <w:t>on page 14. Even if we qualify as a “controlled company,” we do not intend to rely on the controlled company exemptions provided under Nasdaq Listing Rules. For more information about risks relating to “controlled company”, see “</w:t>
      </w:r>
      <w:r>
        <w:rPr>
          <w:rFonts w:ascii="Times New Roman;Times;Serif" w:hAnsi="Times New Roman;Times;Serif"/>
          <w:b w:val="false"/>
          <w:i/>
          <w:caps w:val="false"/>
          <w:smallCaps w:val="false"/>
          <w:sz w:val="20"/>
        </w:rPr>
        <w:t>Risk Factors – As a ‘controlled company’ under the rules of The Nasdaq Capital Market, we may choose to exempt our company from certain corporate governance requirements that could have an adverse effect on our public Class A shareholders</w:t>
      </w:r>
      <w:r>
        <w:rPr>
          <w:rFonts w:ascii="Times New Roman;Times;Serif" w:hAnsi="Times New Roman;Times;Serif"/>
          <w:b w:val="false"/>
          <w:i w:val="false"/>
          <w:caps w:val="false"/>
          <w:smallCaps w:val="false"/>
          <w:sz w:val="20"/>
        </w:rPr>
        <w:t>” on page 56.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holding company incorporated in the Cayman Islands, and we operate our core businesses through our subsidiary in the People’s Republic of China (“PRC” or “Mainland China”). We do not, and currently have no plans to conduct operations in Hong Kong, Macau or Taiwan. </w:t>
      </w:r>
      <w:r>
        <w:rPr>
          <w:rFonts w:ascii="Times New Roman;Times;Serif" w:hAnsi="Times New Roman;Times;Serif"/>
          <w:b/>
          <w:i w:val="false"/>
          <w:caps w:val="false"/>
          <w:smallCaps w:val="false"/>
          <w:sz w:val="20"/>
        </w:rPr>
        <w:t>This is an offering of the Class A Shares of the Cayman Islands holding company, which does not conduct operations. You are not investing in Guangzhou Youxin Technology Co., Ltd., the PRC operating company, and may never hold equity in our PRC operating subsidiary.</w:t>
      </w:r>
      <w:r>
        <w:rPr>
          <w:rFonts w:ascii="Times New Roman;Times;Serif" w:hAnsi="Times New Roman;Times;Serif"/>
          <w:b w:val="false"/>
          <w:i w:val="false"/>
          <w:caps w:val="false"/>
          <w:smallCaps w:val="false"/>
          <w:sz w:val="20"/>
        </w:rPr>
        <w:t xml:space="preserve"> Therefore, the availability of funds for us to pay dividends to our shareholders and to service our indebtedness depends upon dividends received from the PRC subsidiary. If the PRC subsidiary incurs debt or losses, its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subsidiary may enter into in the future may also restrict the ability of our subsidiary to pay dividends to us. These restrictions on the availability of our funding may impact our ability to pay dividends to our shareholders and to service our indebtedness. As of the date of this prospectus, none of our subsidiaries has made any dividends or distributions to our company and our company has not made any dividends or distributions to our shareholders. Since the incorporation of our Cayman Islands holding company, no cash flows or transfer of other assets have occurred between our Cayman Islands holding company and our subsidiaries. The cross-border transfer of funds within our corporate group under our direct holding structure in the future must be compliant with relevant laws and regulations of China. In utilizing the proceeds from this offering, as an offshore holding company, we are permitted under PRC laws and regulations to provide funding to the PRC operating entity only through loans or capital contributions subject to applicable government reporting, registration and approvals. See “USE OF PROCEEDS” on page 63, and “RISK FACTORS — </w:t>
      </w:r>
      <w:r>
        <w:rPr>
          <w:rFonts w:ascii="Times New Roman;Times;Serif" w:hAnsi="Times New Roman;Times;Serif"/>
          <w:b w:val="false"/>
          <w:i/>
          <w:caps w:val="false"/>
          <w:smallCaps w:val="false"/>
          <w:sz w:val="20"/>
        </w:rPr>
        <w:t>Risks Related to Doing Business in China — Failure to comply with PRC regulation of loans to and direct investment in PRC entities by offshore holding companies and of currency conversion may delay or prevent us from using the proceeds of this offering to make loans or additional capital contributions to our subsidiaries, which could materially and adversely affect our liquidity and ability to fund and expand our business”</w:t>
      </w:r>
      <w:r>
        <w:rPr>
          <w:rFonts w:ascii="Times New Roman;Times;Serif" w:hAnsi="Times New Roman;Times;Serif"/>
          <w:b w:val="false"/>
          <w:i w:val="false"/>
          <w:caps w:val="false"/>
          <w:smallCaps w:val="false"/>
          <w:sz w:val="20"/>
        </w:rPr>
        <w:t xml:space="preserve"> on page 43. We may encounter difficulties in our ability to transfer cash within our organization in the future, if we fail to comply with applicable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will be subject to reduced public company reporting requirements. See “Prospectus Summary — Implications of Being an Emerging Growth Company” and “Prospectus Summary — Implications of Being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including the risk of losing your entire investment. See “Risk Factors” beginning on page 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 read about factors you should consider before buying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conduct our operations in Mainland China, we are subject to legal and operational risks associated with having our operations in Mainland China, including risks related to the legal, political and economic policies of the PRC government, the relations between China and the United States, or Chinese or United States regulations, which risks could result in a material change in our operations and/or cause the value of our ordinary shares to significantly decline or become worthless and affect our ability to offer or continue to offer securities to investors. We face risks arising from the legal system in China, including that certain rules and regulations in China can change quickly with little advance notice and the risk that the Chinese government may intervene or influence our operations in accordance with applicable laws and regulations.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which could impact our ability to conduct our business, accept foreign investments, or list on a U.S. or other foreign exchange. On October 29, 2021, the Cyberspace Administration of China (“CAC”) published the Draft Outbound Data Transfer Security Assessment Measures (the “Draft Outbound Data Transfer Security Assessment Measures”). On July 7, 2022, the Outbound Data Transfer Security Assessment Measures (the “Outbound Data Transfer Security Assessment Measures”) formally promulgated, which became effective from September 1, 2022. The Outbound Data Transfer Security Assessment Measures stipulates the circumstances under which security assessment of outbound data transfers should be declared, including: (i) outbound transfer of important data, which means any data, the tampering, damage, leakage, or illegal acquisition or use of which, if it happens, may endanger national security, the operation of the economy, social stability, public health and security,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national cyberspace administration authority. On December 28, 2021, the Measures for Cybersecurity Review (2021 version) was promulgated and became effective on February 15, 2022, which iterates that any “online platform operators” controlling personal information of more than one million users which seeks to list in a foreign stock exchange should apply for cybersecurity review. We are not in possession of personal information of over one million users and we do not expect to have personal information of more than one million users prior to this offering. In view of the above, and based on the advice of our PRC legal counsel, Jingtian &amp; Gongcheng, we believe that we are not subject to the cybersecurity review application requirements for this offering under the Measures for Cybersecurity Review (2021 version). As of the date of this prospectus, we have not been involved in any investigations on cybersecurity review initiated by the CAC, and we have not received any warning, sanction or penalty in such respect. However, since the Measures for Cybersecurity Review (2021 version) was recently adopted and there are currently no detailed interpretation or implementing rules regarding its application thereof, we could be subject to cybersecurity review, and if so, there is no assurance that we would be able to pass such review in relation to this offering in a timely manner or at all. In addition, we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us, which may have material adverse effect on our business, financial condition or results of operations. See “Risk Factors – Risks Related to Doing Business in China – </w:t>
      </w:r>
      <w:r>
        <w:rPr>
          <w:rFonts w:ascii="Times New Roman;Times;Serif" w:hAnsi="Times New Roman;Times;Serif"/>
          <w:b w:val="false"/>
          <w:i/>
          <w:caps w:val="false"/>
          <w:smallCaps w:val="false"/>
          <w:sz w:val="20"/>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Anti-Monopoly Law of the People’s Republic of China, which took effect in 2008 and was amended on June 24, 2022, which amendment became effective August 1, 2022 (the “Anti-Monopoly Law”), established additional procedures and requirements with respect to merger and acquisition activities by foreign investors Under the Anti-Monopoly Law, companies undertaking acquisitions relating to businesses in China must notify the State Council’s anti-monopoly law enforcement authority, in advance of any transaction where the parties’ revenue in the China market exceed certain thresholds and the buyer would obtain control of, or decisive influence over, the target. We also have not implemented monopolistic behaviors including monopoly agreements, abuse of a dominant position and concentration of undertakings that may have the effect to eliminate or restrict competition in the field of platform economy. However, since we anticipate that long term success in China’s market will require consolidation of the many small participants in that market, and our goal is to be one of the survivors of that consolidation, when it happens. As of the date of this prospectus, we have not been involved in any investigations on anti-monopoly initiated by the related governmental regulatory authorities, and we have not received any inquiry, notice, warning, or sanction in such respect.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Pursuant to the Trial Administrative Measures, if the issuer meets both the following criteria, the overseas securities offering and listing conducted by such issuer is deemed an indirect overseas offering by PRC domestic companies: (i) 50% or more of any of the issuer’s operating revenue, total profit, total assets or net assets as documented in its audited consolidated financial statements for the most recent fiscal year is attributed to PRC domestic companies; and (ii) the main parts of the issuer’s business activities are conducted in the PRC, or its main business place(s)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PRC domestic companies under the Trial Administrative Measures and we are therefore subject to the filing requirements for this offering thereunder. New Administrative Rules Regarding Overseas Listings also provide that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We submitted the filing materials to the CSRC in connection with our initial public offering pursuant to the Trial Administrative Measures on June 7, 2023, and on February 7, 2024, we received from the CSRC a filing notice which indicated that we had completed the required filing application procedures for our initial public offering. For this offering, we are required to submit a filing with the CSRC within three business days after the completion of an offering made pursuant to this prospectus and may be subject to the filing requirements under the New Administrative Rules Regarding Overseas Listings for our future offerings and listing of our securities in an overseas market under the New Administrative Rules Regarding Overseas Listings. Also on March 31, 2023, the Provisions on Strengthening Confidentiality and Archives Administration of Overseas Securities Offering and Listing by Domestic Companies (the “Confidentiality and Archives Administration Provisions”) promulgated by the CSRC and other three government authorities became effective. According to the Confidentiality and Archives Administration Provisions, domestic companies that seek overseas offering and listing (either in direct or indirect means), the securities companies and securities service (either incorporated domestically or overseas) providers that undertake relevant businesses shall not leak any state secret or working secret of government agencies, or harm national security and public interests.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We believe that this offering does not involve the leaking of any state secret or working secret of government agencies, or the harming of national security and public interests. However, we may be required to perform additional procedures in connection with the provision of accounting archives. Since the New Administrative Rules Regarding Overseas Listings are newly promulgated, and there is currently no detailed interpretation and implementation in all aspects thereof, we cannot assure you that we will be able to complete the relevant filings in a timely manner or fulfil all the regulatory requirements thereunder. Any failure of us to fully comply with new regulatory requirements may significantly limit or completely hinder our ability to offer or continue to offer our ordinary shares. Furthermore, the Ministry of Commerce (“MOFCOM”) and the National Development and Reform Commission (“NDRC”) promulgated the Special Administrative Measures for Access of Foreign Investment (2024 Edition), or the Negative List (2024) which replaced the Special Administrative Measures for Access of Foreign Investment (2021 Edition), or the Negative List (2021). Both Negative List (2024) and Negative List (2021) stipulate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As of the date of this prospectus, we are not engaged in business classified as a prohibited investment field under the Negative List (2024), and we also have not been involved in any investigations initiated by the above applicable governmental regulatory authorities, nor have we received any inquiry, notice, warning, or sanction.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may be prohibited from trading on a national exchange or in the “over-the-counter” markets in the United States under the Holding Foreign Companies Accountable Act (the “HFCA Act”) if the Public Company Accounting Oversight Board (“PCAOB”) is unable to inspect our auditors for three consecutive years beginning in 2021. Furthermore, on June 22, 2021, the U.S. Senate passed the Accelerating Holding Foreign Companies Accountable Act (“AHFCAA”) and the U.S. House of Representatives introduced the AHFCAA on December 14, 2021, referring it to the House Committee on Financial Services. Pursuant to the HFCA Act, the PCAOB issued a Determination Report on December 16, 2021, which found that the PCAOB is unable to inspect or investigate completely registered public accounting firms headquartered in: (1) Mainland China, and (2) Hong Kong. In addition, the PCAOB’s report identified the specific registered public accounting firms which are subject to these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On December 15, 2022, the PCAOB Board determined that the PCAOB was able to secure complete access to inspect and investigate registered public accounting firms headquartered in Mainland China and Hong Kong and voted to vacate its previous determinations to the contrary. On December 29, 2022, the Accelerating Holding Foreign Companies Accountable Act was signed into law as part of the “Consolidated Appropriations Act, 2023” (the “Consolidated Appropriations Act”), reducing the number of consecutive non-inspection years required for triggering the prohibitions under the HFCA Act from three years to two. However, should PRC authorities obstruct or otherwise fail to facilitate PCAOB’s access in the future, the PCAOB Board will consider the need to issue a new determination. These developments could add uncertainties to our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is currently subject to PCAOB inspections and the PCAOB is able to inspect our auditor. Our auditor, Marcum Asia CPAs LLP, is headquartered in New York City, New York, and has been inspected by the PCAOB on a regular basis. Our auditor is not headquartered in Mainland China or Hong Kong. Marcum Asia was not subject to the determinations announced by the PCAOB on December 16, 2021. As such, as of the date of this prospectus, our offering is not affected by the HFCA Act, the Consolidated Appropriations Act, and related regulations. Notwithstanding the foregoing, in the future, if there is any regulatory change or step taken by PRC regulators that does not permit Marcum Asia CPAs LLP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 See “Risk Factors – Risks Related to Doing Business in China — “</w:t>
      </w:r>
      <w:r>
        <w:rPr>
          <w:rFonts w:ascii="Times New Roman;Times;Serif" w:hAnsi="Times New Roman;Times;Serif"/>
          <w:b w:val="false"/>
          <w:i/>
          <w:caps w:val="false"/>
          <w:smallCaps w:val="false"/>
          <w:sz w:val="20"/>
        </w:rPr>
        <w:t>There is no assurance that future audit reports will be prepared by auditors able to be inspected or 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 on pages 52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9470"/>
        <w:gridCol w:w="245"/>
      </w:tblGrid>
      <w:tr>
        <w:trPr/>
        <w:tc>
          <w:tcPr>
            <w:tcW w:w="9470" w:type="dxa"/>
            <w:tcBorders/>
            <w:shd w:fill="CCEEFF" w:val="clear"/>
            <w:vAlign w:val="center"/>
          </w:tcPr>
          <w:p>
            <w:pPr>
              <w:pStyle w:val="TableContents"/>
              <w:bidi w:val="0"/>
              <w:spacing w:before="0" w:after="283"/>
              <w:jc w:val="left"/>
              <w:rPr/>
            </w:pPr>
            <w:hyperlink w:anchor="sl_003">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left"/>
              <w:rPr/>
            </w:pPr>
            <w:hyperlink w:anchor="sl_001">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CCEEFF" w:val="clear"/>
            <w:vAlign w:val="center"/>
          </w:tcPr>
          <w:p>
            <w:pPr>
              <w:pStyle w:val="TableContents"/>
              <w:bidi w:val="0"/>
              <w:spacing w:before="0" w:after="283"/>
              <w:jc w:val="left"/>
              <w:rPr/>
            </w:pPr>
            <w:hyperlink w:anchor="sl_002">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470" w:type="dxa"/>
            <w:tcBorders/>
            <w:shd w:fill="FFFFFF" w:val="clear"/>
            <w:vAlign w:val="center"/>
          </w:tcPr>
          <w:p>
            <w:pPr>
              <w:pStyle w:val="TableContents"/>
              <w:bidi w:val="0"/>
              <w:spacing w:before="0" w:after="283"/>
              <w:jc w:val="left"/>
              <w:rPr/>
            </w:pPr>
            <w:hyperlink w:anchor="rs_001">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470" w:type="dxa"/>
            <w:tcBorders/>
            <w:shd w:fill="CCEEFF" w:val="clear"/>
            <w:vAlign w:val="center"/>
          </w:tcPr>
          <w:p>
            <w:pPr>
              <w:pStyle w:val="TableContents"/>
              <w:bidi w:val="0"/>
              <w:spacing w:before="0" w:after="283"/>
              <w:jc w:val="left"/>
              <w:rPr/>
            </w:pPr>
            <w:hyperlink w:anchor="rs_002">
              <w:r>
                <w:rPr>
                  <w:rStyle w:val="InternetLink"/>
                  <w:rFonts w:ascii="Times New Roman;Times;Serif" w:hAnsi="Times New Roman;Times;Serif"/>
                  <w:b w:val="false"/>
                  <w:i w:val="false"/>
                  <w:caps w:val="false"/>
                  <w:smallCaps w:val="false"/>
                  <w:sz w:val="20"/>
                </w:rPr>
                <w:t>DIVIDEND POLICY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FFFFFF" w:val="clear"/>
            <w:vAlign w:val="center"/>
          </w:tcPr>
          <w:p>
            <w:pPr>
              <w:pStyle w:val="TableContents"/>
              <w:bidi w:val="0"/>
              <w:spacing w:before="0" w:after="283"/>
              <w:jc w:val="left"/>
              <w:rPr/>
            </w:pPr>
            <w:hyperlink w:anchor="rs_003">
              <w:r>
                <w:rPr>
                  <w:rStyle w:val="InternetLink"/>
                  <w:rFonts w:ascii="Times New Roman;Times;Serif" w:hAnsi="Times New Roman;Times;Serif"/>
                  <w:b w:val="false"/>
                  <w:i w:val="false"/>
                  <w:caps w:val="false"/>
                  <w:smallCaps w:val="false"/>
                  <w:sz w:val="20"/>
                </w:rPr>
                <w:t>CAPITALIZATION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CCEEFF" w:val="clear"/>
            <w:vAlign w:val="center"/>
          </w:tcPr>
          <w:p>
            <w:pPr>
              <w:pStyle w:val="TableContents"/>
              <w:bidi w:val="0"/>
              <w:spacing w:before="0" w:after="283"/>
              <w:jc w:val="left"/>
              <w:rPr/>
            </w:pPr>
            <w:hyperlink w:anchor="rs_00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FFFFFF" w:val="clear"/>
            <w:vAlign w:val="center"/>
          </w:tcPr>
          <w:p>
            <w:pPr>
              <w:pStyle w:val="TableContents"/>
              <w:bidi w:val="0"/>
              <w:spacing w:before="0" w:after="283"/>
              <w:jc w:val="left"/>
              <w:rPr/>
            </w:pPr>
            <w:hyperlink w:anchor="rs_005">
              <w:r>
                <w:rPr>
                  <w:rStyle w:val="InternetLink"/>
                  <w:rFonts w:ascii="Times New Roman;Times;Serif" w:hAnsi="Times New Roman;Times;Serif"/>
                  <w:b w:val="false"/>
                  <w:i w:val="false"/>
                  <w:caps w:val="false"/>
                  <w:smallCaps w:val="false"/>
                  <w:sz w:val="20"/>
                </w:rPr>
                <w:t>BUSINESS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CCEEFF" w:val="clear"/>
            <w:vAlign w:val="center"/>
          </w:tcPr>
          <w:p>
            <w:pPr>
              <w:pStyle w:val="TableContents"/>
              <w:bidi w:val="0"/>
              <w:spacing w:before="0" w:after="283"/>
              <w:jc w:val="left"/>
              <w:rPr/>
            </w:pPr>
            <w:hyperlink w:anchor="rs_006">
              <w:r>
                <w:rPr>
                  <w:rStyle w:val="InternetLink"/>
                  <w:rFonts w:ascii="Times New Roman;Times;Serif" w:hAnsi="Times New Roman;Times;Serif"/>
                  <w:b w:val="false"/>
                  <w:i w:val="false"/>
                  <w:caps w:val="false"/>
                  <w:smallCaps w:val="false"/>
                  <w:sz w:val="20"/>
                </w:rPr>
                <w:t>MANAGEMENT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FFFFFF" w:val="clear"/>
            <w:vAlign w:val="center"/>
          </w:tcPr>
          <w:p>
            <w:pPr>
              <w:pStyle w:val="TableContents"/>
              <w:bidi w:val="0"/>
              <w:spacing w:before="0" w:after="283"/>
              <w:jc w:val="left"/>
              <w:rPr/>
            </w:pPr>
            <w:hyperlink w:anchor="rs_007">
              <w:r>
                <w:rPr>
                  <w:rStyle w:val="InternetLink"/>
                  <w:rFonts w:ascii="Times New Roman;Times;Serif" w:hAnsi="Times New Roman;Times;Serif"/>
                  <w:b w:val="false"/>
                  <w:i w:val="false"/>
                  <w:caps w:val="false"/>
                  <w:smallCaps w:val="false"/>
                  <w:sz w:val="20"/>
                </w:rPr>
                <w:t>RELATED PARTY TRANSACTIONS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CCEEFF" w:val="clear"/>
            <w:vAlign w:val="center"/>
          </w:tcPr>
          <w:p>
            <w:pPr>
              <w:pStyle w:val="TableContents"/>
              <w:bidi w:val="0"/>
              <w:spacing w:before="0" w:after="283"/>
              <w:jc w:val="left"/>
              <w:rPr/>
            </w:pPr>
            <w:hyperlink w:anchor="rs_008">
              <w:r>
                <w:rPr>
                  <w:rStyle w:val="InternetLink"/>
                  <w:rFonts w:ascii="Times New Roman;Times;Serif" w:hAnsi="Times New Roman;Times;Serif"/>
                  <w:b w:val="false"/>
                  <w:i w:val="false"/>
                  <w:caps w:val="false"/>
                  <w:smallCaps w:val="false"/>
                  <w:sz w:val="20"/>
                  <w:u w:val="single"/>
                </w:rPr>
                <w:t>TAXATION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70" w:type="dxa"/>
            <w:tcBorders/>
            <w:shd w:fill="FFFFFF" w:val="clear"/>
            <w:vAlign w:val="center"/>
          </w:tcPr>
          <w:p>
            <w:pPr>
              <w:pStyle w:val="TableContents"/>
              <w:bidi w:val="0"/>
              <w:spacing w:before="0" w:after="283"/>
              <w:jc w:val="left"/>
              <w:rPr/>
            </w:pPr>
            <w:hyperlink w:anchor="rs_013">
              <w:r>
                <w:rPr>
                  <w:rStyle w:val="InternetLink"/>
                  <w:rFonts w:ascii="Times New Roman;Times;Serif" w:hAnsi="Times New Roman;Times;Serif"/>
                  <w:b w:val="false"/>
                  <w:i w:val="false"/>
                  <w:caps w:val="false"/>
                  <w:smallCaps w:val="false"/>
                  <w:sz w:val="20"/>
                  <w:u w:val="single"/>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left"/>
              <w:rPr/>
            </w:pPr>
            <w:hyperlink w:anchor="rs_014">
              <w:r>
                <w:rPr>
                  <w:rStyle w:val="InternetLink"/>
                  <w:rFonts w:ascii="Times New Roman;Times;Serif" w:hAnsi="Times New Roman;Times;Serif"/>
                  <w:b w:val="false"/>
                  <w:i w:val="false"/>
                  <w:caps w:val="false"/>
                  <w:smallCaps w:val="false"/>
                  <w:sz w:val="20"/>
                </w:rPr>
                <w:t>DILUTION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470" w:type="dxa"/>
            <w:tcBorders/>
            <w:shd w:fill="FFFFFF" w:val="clear"/>
            <w:vAlign w:val="center"/>
          </w:tcPr>
          <w:p>
            <w:pPr>
              <w:pStyle w:val="TableContents"/>
              <w:bidi w:val="0"/>
              <w:spacing w:before="0" w:after="283"/>
              <w:jc w:val="left"/>
              <w:rPr/>
            </w:pPr>
            <w:hyperlink w:anchor="rs_009">
              <w:r>
                <w:rPr>
                  <w:rStyle w:val="InternetLink"/>
                  <w:rFonts w:ascii="Times New Roman;Times;Serif" w:hAnsi="Times New Roman;Times;Serif"/>
                  <w:b w:val="false"/>
                  <w:i w:val="false"/>
                  <w:caps w:val="false"/>
                  <w:smallCaps w:val="false"/>
                  <w:sz w:val="20"/>
                </w:rPr>
                <w:t>DESCRIPTION OF SHARE CAPITAL AND OTHER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70" w:type="dxa"/>
            <w:tcBorders/>
            <w:shd w:fill="CCEEFF" w:val="clear"/>
            <w:vAlign w:val="center"/>
          </w:tcPr>
          <w:p>
            <w:pPr>
              <w:pStyle w:val="TableContents"/>
              <w:bidi w:val="0"/>
              <w:spacing w:before="0" w:after="283"/>
              <w:jc w:val="left"/>
              <w:rPr/>
            </w:pPr>
            <w:hyperlink w:anchor="rs_010">
              <w:r>
                <w:rPr>
                  <w:rStyle w:val="InternetLink"/>
                  <w:rFonts w:ascii="Times New Roman;Times;Serif" w:hAnsi="Times New Roman;Times;Serif"/>
                  <w:b w:val="false"/>
                  <w:i w:val="false"/>
                  <w:caps w:val="false"/>
                  <w:smallCaps w:val="false"/>
                  <w:sz w:val="20"/>
                </w:rPr>
                <w:t>DESCRIPTION OF SHARE PURCHASE CONTRACTS AND SHARE PURCHASE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70" w:type="dxa"/>
            <w:tcBorders/>
            <w:shd w:fill="FFFFFF" w:val="clear"/>
            <w:vAlign w:val="center"/>
          </w:tcPr>
          <w:p>
            <w:pPr>
              <w:pStyle w:val="TableContents"/>
              <w:bidi w:val="0"/>
              <w:spacing w:before="0" w:after="283"/>
              <w:jc w:val="left"/>
              <w:rPr/>
            </w:pPr>
            <w:hyperlink w:anchor="rs_011">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470" w:type="dxa"/>
            <w:tcBorders/>
            <w:shd w:fill="CCEEFF" w:val="clear"/>
            <w:vAlign w:val="center"/>
          </w:tcPr>
          <w:p>
            <w:pPr>
              <w:pStyle w:val="TableContents"/>
              <w:bidi w:val="0"/>
              <w:spacing w:before="0" w:after="283"/>
              <w:jc w:val="left"/>
              <w:rPr/>
            </w:pPr>
            <w:hyperlink w:anchor="rs_012">
              <w:r>
                <w:rPr>
                  <w:rStyle w:val="InternetLink"/>
                  <w:rFonts w:ascii="Times New Roman;Times;Serif" w:hAnsi="Times New Roman;Times;Serif"/>
                  <w:b w:val="false"/>
                  <w:i w:val="false"/>
                  <w:caps w:val="false"/>
                  <w:smallCaps w:val="false"/>
                  <w:sz w:val="20"/>
                </w:rPr>
                <w:t>DESCRIPTION OF RIGHTS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470" w:type="dxa"/>
            <w:tcBorders/>
            <w:shd w:fill="FFFFFF" w:val="clear"/>
            <w:vAlign w:val="center"/>
          </w:tcPr>
          <w:p>
            <w:pPr>
              <w:pStyle w:val="TableContents"/>
              <w:bidi w:val="0"/>
              <w:spacing w:before="0" w:after="283"/>
              <w:jc w:val="left"/>
              <w:rPr/>
            </w:pPr>
            <w:hyperlink w:anchor="rs_015">
              <w:r>
                <w:rPr>
                  <w:rStyle w:val="InternetLink"/>
                  <w:rFonts w:ascii="Times New Roman;Times;Serif" w:hAnsi="Times New Roman;Times;Serif"/>
                  <w:b w:val="false"/>
                  <w:i w:val="false"/>
                  <w:caps w:val="false"/>
                  <w:smallCaps w:val="false"/>
                  <w:sz w:val="20"/>
                </w:rPr>
                <w:t>EXPENSES RELATING TO THIS OFFERING</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CCEEFF" w:val="clear"/>
            <w:vAlign w:val="center"/>
          </w:tcPr>
          <w:p>
            <w:pPr>
              <w:pStyle w:val="TableContents"/>
              <w:bidi w:val="0"/>
              <w:spacing w:before="0" w:after="283"/>
              <w:jc w:val="left"/>
              <w:rPr/>
            </w:pPr>
            <w:hyperlink w:anchor="rs_016">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FFFFFF" w:val="clear"/>
            <w:vAlign w:val="center"/>
          </w:tcPr>
          <w:p>
            <w:pPr>
              <w:pStyle w:val="TableContents"/>
              <w:bidi w:val="0"/>
              <w:spacing w:before="0" w:after="283"/>
              <w:jc w:val="left"/>
              <w:rPr/>
            </w:pPr>
            <w:hyperlink w:anchor="rs_017">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CCEEFF" w:val="clear"/>
            <w:vAlign w:val="center"/>
          </w:tcPr>
          <w:p>
            <w:pPr>
              <w:pStyle w:val="TableContents"/>
              <w:bidi w:val="0"/>
              <w:spacing w:before="0" w:after="283"/>
              <w:jc w:val="left"/>
              <w:rPr/>
            </w:pPr>
            <w:hyperlink w:anchor="rs_018">
              <w:r>
                <w:rPr>
                  <w:rStyle w:val="InternetLink"/>
                  <w:rFonts w:ascii="Times New Roman;Times;Serif" w:hAnsi="Times New Roman;Times;Serif"/>
                  <w:b w:val="false"/>
                  <w:i w:val="false"/>
                  <w:caps w:val="false"/>
                  <w:smallCaps w:val="false"/>
                  <w:sz w:val="20"/>
                </w:rPr>
                <w:t>INTERESTS OF NAMED EXPERTS AND COUNSEL</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FFFFFF" w:val="clear"/>
            <w:vAlign w:val="center"/>
          </w:tcPr>
          <w:p>
            <w:pPr>
              <w:pStyle w:val="TableContents"/>
              <w:bidi w:val="0"/>
              <w:spacing w:before="0" w:after="283"/>
              <w:jc w:val="left"/>
              <w:rPr/>
            </w:pPr>
            <w:hyperlink w:anchor="rs_019">
              <w:r>
                <w:rPr>
                  <w:rStyle w:val="InternetLink"/>
                  <w:rFonts w:ascii="Times New Roman;Times;Serif" w:hAnsi="Times New Roman;Times;Serif"/>
                  <w:b w:val="false"/>
                  <w:i w:val="false"/>
                  <w:caps w:val="false"/>
                  <w:smallCaps w:val="false"/>
                  <w:sz w:val="20"/>
                </w:rPr>
                <w:t>DISCLOSURE OF COMMISSION POSITION ON INDEMNIFICATION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CCEEFF" w:val="clear"/>
            <w:vAlign w:val="center"/>
          </w:tcPr>
          <w:p>
            <w:pPr>
              <w:pStyle w:val="TableContents"/>
              <w:bidi w:val="0"/>
              <w:spacing w:before="0" w:after="283"/>
              <w:jc w:val="left"/>
              <w:rPr/>
            </w:pPr>
            <w:hyperlink w:anchor="rs_020">
              <w:r>
                <w:rPr>
                  <w:rStyle w:val="InternetLink"/>
                  <w:rFonts w:ascii="Times New Roman;Times;Serif" w:hAnsi="Times New Roman;Times;Serif"/>
                  <w:b w:val="false"/>
                  <w:i w:val="false"/>
                  <w:caps w:val="false"/>
                  <w:smallCaps w:val="false"/>
                  <w:sz w:val="20"/>
                </w:rPr>
                <w:t>INFORMATION INCORPORATED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470" w:type="dxa"/>
            <w:tcBorders/>
            <w:shd w:fill="FFFFFF" w:val="clear"/>
            <w:vAlign w:val="center"/>
          </w:tcPr>
          <w:p>
            <w:pPr>
              <w:pStyle w:val="TableContents"/>
              <w:bidi w:val="0"/>
              <w:spacing w:before="0" w:after="283"/>
              <w:jc w:val="left"/>
              <w:rPr/>
            </w:pPr>
            <w:hyperlink w:anchor="rs_021">
              <w:r>
                <w:rPr>
                  <w:rStyle w:val="InternetLink"/>
                  <w:rFonts w:ascii="Times New Roman;Times;Serif" w:hAnsi="Times New Roman;Times;Serif"/>
                  <w:b w:val="false"/>
                  <w:i w:val="false"/>
                  <w:caps w:val="false"/>
                  <w:smallCaps w:val="false"/>
                  <w:sz w:val="20"/>
                </w:rPr>
                <w:t>ENFORCEABILITY OF CIVIL LIABILITIES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470" w:type="dxa"/>
            <w:tcBorders/>
            <w:shd w:fill="CCEEFF" w:val="clear"/>
            <w:vAlign w:val="center"/>
          </w:tcPr>
          <w:p>
            <w:pPr>
              <w:pStyle w:val="TableContents"/>
              <w:bidi w:val="0"/>
              <w:spacing w:before="0" w:after="283"/>
              <w:jc w:val="left"/>
              <w:rPr/>
            </w:pPr>
            <w:hyperlink w:anchor="rs_02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(“SEC”) using a shelf registration process. Under this shelf registration process, we may offer from time to time, in one or more offerings, securities having an aggregate initial offering price of up to $100,000,000 (or its equivalent in foreign or composite currencies). This prospectus provides you with a general description of the securities that may be offered. Each time we offer securities under this shelf registration statement, we will provide you with a prospectus supplement that describes the specific amounts, prices and terms of the securities being offered. The prospectus supplement also may add, update or change information contained in this prospectus. You should read carefully both this prospectus and any prospectus supplement together with additional information described below under the caption “Where You Can Find More Information,” before making an investment decision. We have incorporated exhibits into this registration statement. You should read the exhibits carefully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through underwriters or dealers, through agents, directly to purchasers or through a combination of these methods. We and our agents reserve the sole right to accept or reject, in whole or in part, any proposed purchase of securities. The prospectus supplement, which we will provide to you each time we offer securities, will set forth the names of any underwriters, agents or others involved in the sale of securities and any applicable fee, commission or discount arrangements with them. See the information described below under the heading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 “U.S.$,” “U.S. dollars,” “dollars” and “USD” mean U.S. dollars and all references to “RMB” mean Renminbi, unless otherwise noted. All references to “PRC”, or “China” in this prospectus refer to the People’s Republic of China. All references to “Mainland China” are to the mainland of the People’s Republic of China without reference to Taiwan and the Hong Kong Special Administrative Region of China (“Hong Kong”) and Macau Special Administrative Regions of the People’s Republic of China (“Macau”) for purposes of this prospectus only. Under the context of laws, regulations and rules, “China” or “the PRC” refers to only such laws, regulations and rules of Mainland China. Under the context of government, governmental authorities, regulatory agencies, courts, jurisdictions, tax entities and enterprises, individuals and residents of “China” or “the PRC” or “Chinese”, such terms refer to only such government, governmental authorities, regulatory agencies, courts, jurisdictions, tax entities and enterprises, individuals and residents of Mainland China. “PRC laws and regulations” refer to the laws and regulations of the PRC, without reference to the laws and regulations of Hong Kong, Macau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amounts disclosed in this prospectus give retroactive effect, for all periods presented, to the one-for-eight reverse stock split of our Class Shares effected on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l_003"/>
      <w:bookmarkEnd w:id="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and Section 21E of the Securities Exchange Act of 1934. The words “anticipate,” “expect,” “believe,” “goal,” “plan,” “intend,” “estimate,” “may,” “will,” and similar expressions and variations thereof are intended to identify forward-looking statements, but are not the exclusive means of identifying such statements. Any statements regarding the intent, belief or current expectations of the Company and management that are subject to known and unknown risks, uncertainties and assumptions are considered forward-looking statements. You are cautioned that any such forward-looking statements are not guarantees of future performance and involve risks and uncertainties, and that actual results may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l_001"/>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are cautioned that you are purchasing ordinary shares of our Cayman Islands holding company in this public offering instead of purchasing equity securities of our subsidiaries that have business operations in China. This corporate structure involves unique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summary highlights certain information appearing elsewhere in this prospectus. As this is a summary, it does not contain all of the information that you should consider in making an investment decision. You should read the entire prospectus carefully, including the information under “Risk Factors,” “Management’s Discussion and Analysis of Financial Condition and Results of Operations” and our consolidated financial statements and the related notes thereto included in this prospectus, before investing. This prospectus includes forward-looking statements that involve risks and uncertainties. See “Special Note Regarding Forward-Looking Statements.” Unless the context otherwise requires, the terms “we,” “us,” “our,” the “Group,” “our company” and “Youxin” used in this prospectus refer to Youxin Technology Ltd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SaaS and PaaS provider committed to helping retail enterprises digitally transforming their businesses to develop, use and control business applications without the need to purchase complex IT infrastructure. We leverage the capabilities of our AI + PaaS platform to highly customize digital scenarios for our clients, extending beyond CRM services to include HRM and OA (Office Automation). This seamlessly connects all levels of the relationship chain from management teams to end-users. Our product offers clients a comprehensive, real-time view of their business operations across multiple interfaces, empowering them to make critical business decisions anytime, anywhere..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we have developed one of the few PaaS platforms in Mainland China that can build complex external digital applications (especially transaction-related distribution, store, and e-commerce clouds), which can mass-produce SaaS products from our PaaS platform. We serve the entire enterprise-application market, using PaaS-generated SaaS applications to cover customers’ digital scenarios.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there is substantial market opportunity for our SaaS product and PaaS platform in China. According to CIC, the market for retail public cloud services in China, including ours, has experienced rapid growth over the past five years and is projected to maintain this steady rate of expansion for the next five years. As the demand for cloud-based solutions continues to rise, we believe clients will increasingly turn to public cloud services to streamline their operations, reduce costs, and enhance their overall performance.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many customers in need of digitalization, traditional IT solutions cause their data to be scattered across various systems, making it difficult to get an overall view of their operations. The need for data integration and unified operation increases the demand for personalized integrated systems in which all software or terminals are fully interconnected, offering multiple data interfaces, and eliminating the problem of data silos. These larger, faster, and more complex systems capable of handling massive amounts of data and hybrid online and offline business management are needed to meet the clients’ increasing IT demands and to streamline their operations, reduce redundancy, and increase productivity and profitability.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meet the demands for customized and personalized SaaS products, traditional IT service companies in China must devote substantial resources because they lack standardized platforms capable of delivering personalized data integration and unified operations. Such traditional approaches can often be inefficient due to poor product replicability, heavy delivery and operation modes, and a significant drain on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our company is uniquely positioned to meet these needs for mid-tier brands in Mainland China. We specialize in supporting mid-tier brands that heavily rely on offline direct distribution with high volume IT update requirements. We provide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12 and 13 customers purchase our professional services and the payment channel services in fiscal year 2024 and 2025, respectively, primarily in the fast-moving consumer goods, cosmetics, and food and drink sectors. Our PaaS platform empowered us to develop highly customized CRM SaaS products for some leading brands such as P&amp;G Guangzhou and Lancang Ancient Tea. Our net losses increased from approximately RMB9.23 million ($1.28 million) for the year ended September 30, 2024 to approximately RMB69.57 million ($9.65 million) for the year ended September 30, 2025. Our revenues increased by 3% from RMB3.76 million ($0.52 million) in fiscal year 2024 to RMB3.89 million ($0.54 million) in fiscal year 2025 and our gross profit decreased from RMB2.46 million ($0.34 million) in fiscal year 2024 to RMB1.30 million ($0.18 million) in fiscal year 2025.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generate revenue from professional services, payment channel services, and other revenues. Professional Services revenue are mostly derived from CRM system development services, additional function development services and subscription services. The CRM system development services include process design, project management, system deployment and implementation, and launch to trial operation and acceptance. Additional function development services are based on fulfilling the additional needs of customers for customized CRM systems. Subscription revenues are derived from subsequent maintenance or update services to the customer. Our company charges an annual service fee as long as the customer is still using the constructed CRM system based on the number of user accounts over the subscription period. Contracts are generally one year and full payment is generally collected in advance. Our company also enables the user to make with payment services thought our CRM system, such as top up, withdraw or transaction etc. Our company charges an agreed proportion of the transaction for the payment channel services. Lastly, our company charges a license fee to companies who provide services to their own customers based on our SaaS products.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Regulatory Permissions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PRC subsidiaries have obtained all requisite permissions and approvals that are required and material to engage in the businesses currently conducted in Mainland China, and we have not received any denials in permissions for our Mainland China business operations. Our operations in Mainland China are governed by PRC laws and regulations, pursuant to which our PRC subsidiaries, the WFOE and Guangzhou Youxin, are required to obtain business licenses issued by the PRC State Administration for Market Regulation or its local counterparts for operations. In addition, for purposes of Youxin Cloud’s operations, Guangzhou Youxin shall complete the Level-III filing on information system security protection competency with the Public Security Bureau in accordance with applicable PRC laws and regulations. The following table provides details on the licenses and permissions held by our PRC subsidiaries.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65"/>
        <w:gridCol w:w="60"/>
        <w:gridCol w:w="3560"/>
        <w:gridCol w:w="60"/>
        <w:gridCol w:w="4008"/>
        <w:gridCol w:w="60"/>
        <w:gridCol w:w="892"/>
      </w:tblGrid>
      <w:tr>
        <w:trPr/>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License/Permission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0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 Authority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Guangzhou Youxin</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License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Tianhe District Administrative Examination and Approval Bureau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Level-III filing on information system security protection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Municipal Public Security Bureau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WFOE</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License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Administration for Market Supervision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Trial Administrative Measures, we shall fulfill the filing requirements with the CSRC for this offering and for the offering and the listing and trading of our Class A Shares. Other than the filing requirements, we believe that (i) we are not required to submit an application to the CSRC for its approval under the M&amp;A Rules for this offering and the listing and trading of our Class A Shares; and (ii) we are not subject to cybersecurity review with the CAC, under the Measures for Cybersecurity Review (2021 version), which became effective on February 15, 2022, because we are not in possession of personal information of over one million users and we do not expect to have personal information of more than one million users prior to this offering, and we do not believe we or our PRC subsidiaries would constitute an “operator of critical information infrastructure” or our business and activities would affect or may affect national security.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the advice of our PRC counsel, we believe that as of the date of this prospectus, other than those requisite for a domestic company in Mainland China to engage in businesses similar to ours and the filing procedures with the CSRC, we are not required to obtain any other permissions and approvals from PRC authorities including the CSRC, CAC, or any other governmental agency to operate our business and to offer securities to foreign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the relevant government agencies will not take a view that is contrary to or otherwise different from the conclusions stated above. Furthermore, the applicable laws and regulations may change and our PRC subsidiaries may as a result be required to obtain permission from the PRC government to list on the U.S. exchanges in the future, in addition to the CSRC filing under the Trial Administrative Measures, and even when such permission is obtained, we cannot assure you that it will not be denied or rescinded. We have been closely monitoring regulatory developments in China regarding any necessary approvals from the CSRC, CAC or other PRC governmental authorities. However, there remains significant uncertainty as to the enactment, interpretation and implementation of regulatory requirements related to overseas securities offerings and other capital market activities. If our PRC subsidiaries (i) do not receive or maintain such permissions or approvals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Trial Administrative Measures and relevant supporting guidelines (collectively, the “New Administrative Rules Regarding Overseas Listings”), which came into force on March 31, 2023. The New Administrative Rules Regarding Overseas Listings regulate both direct and indirect overseas offering and listing of Mainland China domestic companies’ securities by adopting a filing-based regulatory regime. Pursuant to the Trial Administrative Measures, we must file with the CSRC with respect to this offering within three business days upon the completion of the offering. Since the New Administrative Rules Regarding Overseas Listings are newly promulgated, and the competent government authorities have not yet issued any detailed interpretation and implementation in all aspects thereof, there can be no assurance that we will be able to complete the relevant filings in a timely manner or fulfill all the regulatory requirements thereunder. Any failure of us to fully comply with these new regulatory requirements may significantly limit or completely hinder our ability to offer or continue to offer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and other three government authorities promulgated the Provisions on Strengthening Confidentiality and Archives Administration of Overseas Securities Offering and Listing by Domestic Companies (the “Confidentiality and Archives Administration Provisions”), which also became effective on March 31, 2023. The Confidentiality and Archives Administration Provisions set out rules, requirements and procedures relating to the provision of documents, materials and accounting archives for securities companies, securities service providers, overseas regulators and other entities and individuals in connection with overseas offering and listing, including without limitation to, domestic companies that carry out overseas offerings and listings (either by direct or indirect means) and the securities companies and securities service providers (either incorporated domestically or overseas) that undertake relevant businesses shall not leak any state secret and working secret of government agencies, or harm national security and public interest, and a domestic company shall first obtain approval from competent authorities according to law, and file with the secrecy administrative department at the same level, if it plans to, either directly or through its overseas listed entity, publicly disclose or provide any documents and materials that contain state secrets or working secrets of government agencies. Working papers produced in the Chinese mainland by securities companies and securities service providers in the process of undertaking businesses related to overseas offerings and listing by domestic companies shall be retained in the Mainland China. Where such documents need to be transferred or transmitted outside the Mainland China, relevant approval procedures stipulated by regulations shall be followed. We believe our business operations do not involve leaking any state secret and working secret of government agencies or harming national security and public interest in connection with provision of documents, materials and accounting archives and therefore we do not need to obtain approval from competent PRC authorities in this regard.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jointly with the relevant authorities, formally published Measures for Cybersecurity Review (2021) which took effect on February 15, 2022. Measures for Cybersecurity Review (2021) stipulates that operators of critical information infrastructure purchasing network products and services and online platform operators carrying out data processing activities that affect or may affect national security, shall conduct a cybersecurity review. Any online platform operator who controls more than one million users’ personal information must apply for a cybersecurity review by the cybersecurity review office if it seeks to be listed in a foreign country. Since our business does not rely on the collection of user data, we are not operators of critical information infrastructure, and we do not possess more than one million users’ individual information, we believe that we are not subject to a cybersecurity review to issue our Class A Shares or list and trade of our Class A Shares on Nasdaq in connection with this offering under the Measures for Cybersecurity Review (2021). However, no detailed interpretation and implementation rules have been issued and there remains uncertainty as to whether the PRC regulatory agencies, including the CAC, may adopt new laws, regulations, rules, or detailed implementation and interpretation related to the Cybersecurity Review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Chinese regulatory agencies, including the Ministry of Commerce of China (the “MOFCOM”), jointly issued the Regulations on Mergers and Acquisitions of Domestic Enterprises by Foreign Investors (the “M&amp;A Rules”), which became effective on September 8, 2006, and amended on June 22, 2009. The M&amp;A Rules contain provisions that require that an offshore special purpose vehicle (“SPV”) formed for listing purposes of the PRC domestic companies and controlled directly or indirectly by Mainland China’s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Given that (i) we are not an SPV which acquires PRC domestic companies’ equity with our shares prior to the listing of our Class A Shares on the Nasdaq, and (ii) there are substantial uncertainties regarding the interpretation and application of PRC laws and regulations and future PRC laws and regulations, we believe that we are not required to submit an application to the CSRC for its approval of this offering and the listing and trading of our Class A Shares on Nasdaq under the M&amp;A Rules. However, there remains uncertainty as to how the M&amp;A Rules will be interpreted or implemented by the relevant PRC authorities, and the opinions summarized above will be subject to any new PRC laws, rules and regulations or detailed implementations and interpretations in any form relating to overseas listing of SPVs like our company. We cannot assure you that relevant PRC government agencies, including the CSRC, would reach the same conclusion as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various laws and regulations.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we might be required to obtain permission from any related PRC government to list our shares on Nasdaq in the future, in addition to the CSRC filing under the Trial Administrative Measures, and even if such permission is obtained, it may be later denied or rescinded, which could significantly limit or completely hinder our ability to conduct our business, accept foreign investments, offer or continue to offer our ordinary shares to investors, list on a U.S. or other foreign exchange and cause the value of our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strengths have contributed and will continue to contribute to our growth and are differentiating us from our competitors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End to End Unified Enterprise Solutions</w:t>
            </w:r>
            <w:r>
              <w:rPr>
                <w:rFonts w:ascii="Times New Roman;Times;Serif" w:hAnsi="Times New Roman;Times;Serif"/>
                <w:b w:val="false"/>
                <w:i w:val="false"/>
                <w:caps w:val="false"/>
                <w:smallCaps w:val="false"/>
                <w:sz w:val="20"/>
              </w:rPr>
              <w:t>. As one of the few providers of domestic applications that can support external digitization in Mainland China, we provide a comprehensive enterprise SaaS product and PaaS platform, with solutions across sales, marketing, and service for a variety of industries and businesses. We also enable merchants to build a 360-degree view of their customers, allowing them to see everything from sales and marketing to commerce.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Best-in-Class Features and Functionality.</w:t>
            </w:r>
            <w:r>
              <w:rPr>
                <w:rFonts w:ascii="Times New Roman;Times;Serif" w:hAnsi="Times New Roman;Times;Serif"/>
                <w:b w:val="false"/>
                <w:i w:val="false"/>
                <w:caps w:val="false"/>
                <w:smallCaps w:val="false"/>
                <w:sz w:val="20"/>
              </w:rPr>
              <w:t xml:space="preserve"> We stay at the forefront of cloud technology development and have built prominent research and development capabilities to maintain our technology leadership and upgrade our cloud solutions continuously.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Abundant Retail Industry Experience. </w:t>
            </w:r>
            <w:r>
              <w:rPr>
                <w:rFonts w:ascii="Times New Roman;Times;Serif" w:hAnsi="Times New Roman;Times;Serif"/>
                <w:b w:val="false"/>
                <w:i w:val="false"/>
                <w:caps w:val="false"/>
                <w:smallCaps w:val="false"/>
                <w:sz w:val="20"/>
              </w:rPr>
              <w:t>Our business founders and management team have the business experience and insight to provide comprehensive and efficient solutions to meet the needs of our clients. With technical expertise and business experience gained from years of work in internet-related industries, our visionary management team with its entrepreneurial spirit has been leading us since our establishment in achieving rapid and continued growth of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Reduced Costs. </w:t>
            </w:r>
            <w:r>
              <w:rPr>
                <w:rFonts w:ascii="Times New Roman;Times;Serif" w:hAnsi="Times New Roman;Times;Serif"/>
                <w:b w:val="false"/>
                <w:i w:val="false"/>
                <w:caps w:val="false"/>
                <w:smallCaps w:val="false"/>
                <w:sz w:val="20"/>
              </w:rPr>
              <w:t>Retailers using our SaaS product and PaaS platform can save on the heavy investment of setting up and maintaining complex IT infrastructure and multiple SaaS products. By outsourcing complex retail business requirements to us, our clients are able to adopt the latest technologies with purpose-built capabilities for security, compliance and interoperability. This allows our clients to enjoy the same features of high quality fully customized SaaS products for a fraction of the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Strong Synergies with Our Partners. </w:t>
            </w:r>
            <w:r>
              <w:rPr>
                <w:rFonts w:ascii="Times New Roman;Times;Serif" w:hAnsi="Times New Roman;Times;Serif"/>
                <w:b w:val="false"/>
                <w:i w:val="false"/>
                <w:caps w:val="false"/>
                <w:smallCaps w:val="false"/>
                <w:sz w:val="20"/>
              </w:rPr>
              <w:t>As one of 38 member companies in the world selected for Tencent’s Cloud Native Accelerator, we can leverage cooperation in multiple dimensions, such as technology, business, community and funding, to accelerate ecological system construction. Tencent is China’s leading cloud-native enabler.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elements of our growth strategy include the following, which we believe empower us to further achieve growth and strengthen our market position: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Optimizing PaaS platform and SaaS service. </w:t>
            </w:r>
            <w:r>
              <w:rPr>
                <w:rFonts w:ascii="Times New Roman;Times;Serif" w:hAnsi="Times New Roman;Times;Serif"/>
                <w:b w:val="false"/>
                <w:i w:val="false"/>
                <w:caps w:val="false"/>
                <w:smallCaps w:val="false"/>
                <w:sz w:val="20"/>
              </w:rPr>
              <w:t>We have fostered strong loyalty with existing customers as a result of the high-quality customized PaaS platform service and solutions we offer, as well as our ability to deliver tangible value to customers by effectively addressing their specific business needs. We intend to leverage the technologies and knowledge gained from creating customized platforms for our clients to create products that are approximately 90% standardized to meet the needs to mid-tier brands in China while also allowing for additional customization to meet the unique demands of any client.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Continue to Invest in Infrastructure and Technology. </w:t>
            </w:r>
            <w:r>
              <w:rPr>
                <w:rFonts w:ascii="Times New Roman;Times;Serif" w:hAnsi="Times New Roman;Times;Serif"/>
                <w:b w:val="false"/>
                <w:i w:val="false"/>
                <w:caps w:val="false"/>
                <w:smallCaps w:val="false"/>
                <w:sz w:val="20"/>
              </w:rPr>
              <w:t xml:space="preserve">Our cloud platform relies heavily on infrastructure and technology. We allocate a substantial portion of our operating expenses to research and development, including upgrading our infrastructure, improving our cloud technology and developing new products and solutions. We incurred RMB1.14 million ($0.16 million), RMB8.21 million ($1.14 million) and RMB15.18 million ($2.15 million) of research and development expenses for the years ended September 30, 2025, 2024 and 2023, respectively. We intend to continue investing in our infrastructure to provide higher-quality cloud services and improve operation efficiency.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Enhance Our Strategic Partner Ecosystem</w:t>
            </w:r>
            <w:r>
              <w:rPr>
                <w:rFonts w:ascii="Times New Roman;Times;Serif" w:hAnsi="Times New Roman;Times;Serif"/>
                <w:b w:val="false"/>
                <w:i w:val="false"/>
                <w:caps w:val="false"/>
                <w:smallCaps w:val="false"/>
                <w:sz w:val="20"/>
              </w:rPr>
              <w:t>. We value the cooperation with our strategic partners and seek to further enhance our strategic partner ecosystem. Our SaaS product and PaaS platform are delivered on a public cloud platform, and we need our vendors to work with us to meet customers’ individualized requirements. We intend to form additional strategic partner relationships with our suppliers, and to accelerate efficient growth via our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Background and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on October 21, 2022, under the laws of the Cayman Islands. Our operating subsidiary in the PRC, Guangzhou Youxin Technology Co., Ltd. was founded on March 12, 2018. Our company has no substantial operations other than holding all of the outstanding share capital of Youxin Cloud (BVI) Ltd, which was established under the laws of the British Virgin Islands on November 10, 2022. Youxin Cloud (BVI) Ltd is also a holding company holding all of the outstanding share capital of Youxin Cloud (HK) Limited which was incorporated on December 13, 2022, under the laws of Hong Kong. Youxin Cloud (HK) Limited is a holding company holding all of the equity of Hainan Youxin Mutual Enterprise Management Co., Ltd., a wholly foreign-owned enterprise in Mainland China, or WFOE, which was incorporated on February 17, 2023, under the laws of the PRC. The WFOE holds all of the equity of Guangzhou Youxin Technology Co., Ltd. Our Class A Shares being offered in this prospectus are shares of Youxin, our Cayman Islands holding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Historical Timeline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2018: We commenced operations through Guangzhou Youxin Technology Co., Ltd. (“Guangzhou Youxin”).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2020: Shareholders Shaozhang Lin, Jinhou Sun, Weizhao Feng transferred their combined 100% shares in Guangxi Yousen Network Technology Co., Ltd. (“Guangxi Yousen”) to Guangzhou Youxin.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2022: Youxin Technology Ltd (“Youxin Technology” or “Youxin Cayman”) was established as our offshore holding company to facilitate financing and offshore listing.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10, 2022: Youxin Cloud Ltd. (“Youxin BVI”) was established and is wholly owned by Youxin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2022: Guangzhou Youxin disposed its subsidiary Guangxi Yousen.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13, 2022: Youxin Cloud (HK) Ltd. (“Youxin HK”) was established and is wholly owned by Youxin BVI.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2023: Hainan Youxin Mutual Enterprise Management Co., Ltd. (“YXHW” or “WFOE”) was established as a wholly foreign-owned enterprise in the PRC and is wholly owned by Youxin HK.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2023: the former shareholders transferred their 100% ownership interest in Guangzhou Youxin to WFOE.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29, 2025: WFOE successfully acquired 51% of the equity interest of Celnet Technology Co., Ltd. (“Celnet”).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Shares of our company is entitled to 1 vote per share, and each holder of Class B Shares of our company is entitled to 20 votes per share. Each Class B Share is convertible into one Class A Share under certain circumstances. Our current corporate structure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77724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Room 1005, 1006, 1007, No. 122 Huangpu Avenue West, Tianhe District, Guangzhou, Guangdong Province, PRC. The telephone number of our principal executive office is +86 13631357745. Celnet leases three office spaces in Guangzhou, Shanghai and Beijing respectively. Guangzhou office is located at Room D203, No. 32, Shangchong Nanyue, Haizhu District, Guangzhou. The total leased area spans 371.53 square meters. The lease commenced on December 1, 2025, and the expiration date is November 30, 2027. Shanghai office is located at Room 1140, 11F, Tower B, Central Towers, No.567, Lan Gao Road, Putuo District, Shanghai. The lease commenced on May 1, 2025, and the expiration date is April 30, 2026. Beijing office is located at Room 1502, 15F, Building 4, Courtyard 60, Xinhua West Street, Tongzhou District, Beijing. The total leased area spans 48.87 square meters. The lease commenced on August 16, 2024, and the expiration date is August 15, 2026. The property is leased without any pledge/mortgage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https://www.ir.youxin.cloud/,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 Our registered office in the Cayman Islands is located at Ogier Global (Cayman) Limited, 89 Nexus Way, Camana Bay, Grand Cayman, KY1-9009, Cayman Islands or at such other place in the Cayman Islands as the directors may at any time decide. Our agent for service of process in the United States is Puglisi &amp; Associates, 850 Library Avenue, Suite 204, Newark, Delaware 1971.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associated with our substantial operations in China. The PRC government has the right to regulate how a China-based company, like us, conducts its business, accepts foreign investments, or lists on a U.S. stock exchange in accordance with laws and regulations. For example, we face risks associated with regulatory approvals of offshore offerings, anti-monopoly regulatory actions, cybersecurity and data privacy, as well as the lack of inspection from the PCAOB. Such regulations may from time to time have an impact on our business operations. Any regulatory action unfavorable to our operations, once taken by the PRC government, could cause the value of our securities to significantly decline or in extreme cases, become worthless. The operational and legal risks associated with being based in and having operations in China also to the extent applicable apply to operations in Hong Kong and Macau which operate under different sets of laws from those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and the filings incorporated by reference before making an investment in our Securities. Below please find a summary of the principal risks we face, organized under relevant headings. These risks are discussed more fully in the section titled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ordinary shares may cause the prevailing market price of our shares to decrease.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Shares has been, and may continue to be, highly volatile, and such volatility could cause the market price of our Class A Shares to decrease and could cause you to lose some or all of your investment in our Class A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Shares, whether by us or our shareholders, could cause the price of our Class A Shares to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and do not intend to pay dividends on our Class A Shares. Investors in this offering may never obtain a return on their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all applicable continued listing requirements of the Nasdaq Capital Market, our Class A Shares may be delisted from Nasdaq, which could have an adverse impact on the liquidity and market price of our Class A Shares.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Operational and Execution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subsidiary Guangzhou Youxin’s PaaS platform to provide customized system development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making it difficult to forecast our future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insufficient computing resources, transmission bandwidth and storage space, which could result in disruptions and the business, results of operations and financial condition could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our inception, and we intend to continue to invest in our business. As a result, we may continue to experience losses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proprietary information or other intellectual property, our business could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our existing and growing client base could strain our personnel resources and infrastructure, and if we are unable to scale up our operations and increase productivity, we may not be able to successfully implement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ordinary shares.</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depend on a small number of customers to derive a significant portion of our net revenues and this dependence is likely to continue.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key members of the management team or development and operations personnel and may be unable to attract and retain employees we need to support operations and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and Industry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effectively develop and expand our marketing and sales capabilities could harm our ability to increase our customer base and achieve broader market acceptance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expand the sale and marketing and to develop and integrate the existing services in order to keep pace with technological developments may not succeed and may reduce our revenue growth rate and harm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generally recognize revenue over the term of our customer agreements, downturns or upturns in new business may not be immediately reflected in our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benefit from integration of our products and services with those of our business partners. If these business partners choose not to partner with us in the future, our business and results of operations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and Regulatory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related to the internet or changes in the internet infrastructure itself may diminish the demand for our products and solutions, and could adversely affect our business, results of operations and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obtain registration or protection of our intellectual property rights could impair our ability to protect our proprietary technology and our brand, causing us to incur significant expenses and harm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by third parties for intellectual property infringement.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challenges from the evolving regulatory environment and user attitudes toward data privacy and protection. Actual or alleged failure to comply with data privacy and protection laws and regulations could materially and adversely affect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and other proceedings arising out of our operations from time to time and may face significant liabilities as a result.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laws and regulations which exert more oversight and control over offerings that are conducted overseas and/or foreign investment and/or operations in China-based issuers could significantly change our operations, limit or completely hinder our ability to offer or continue to offer securities to investors and cause the value of such securities to significantly decline or be worthless.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joint statement by the SEC and PCAOB, proposed rule changes submitted by Nasdaq, and the HFCA Act all call for additional and more stringent criteria to be applied to emerging market companies upon assessing the qualification of their auditors, especially the non-U.S. auditors who are not inspected by the PCAOB. On April 21, 2020, SEC former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 On August 26, 2022, SEC Chairman Gary Gensler released a statement announcing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These developments could add uncertainties to our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governing our current business operations are sometimes vague and uncertain and any changes in such laws and regulations may impair our ability to operate profitably.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CSRC may exert more oversight and control over offerings that are conducted overseas and in foreign investment in China-based issuers, especially those in the technology field. Additional compliance procedures may be required in connection with this offering, which could significantly affect our ability to offer or continue to offer securities to investors and cause the value of our securities to significantly decline or be worthless.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CAC has recently increased oversight over data security, particularly for companies seeking to list on a foreign exchange. We believe the impact of the CAC’s increasing oversight on our business is immaterial. However, the implementation and interpretation of the Revised CAC Measures, and the decision as to whether the PRC regulatory authorities may adopt new laws, regulations, rules, or detailed implementation and interpretation in relation, or in addition to the Revised CAC Measures, will be determined on an ad hoc basis depending on the facts and circumstances.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policy pronouncements by the PRC government regarding business activities of U.S.-listed PRC businesses may negatively impact our Hong Kong subsidiary.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Guangzhou Youxin operates in Mainland China, its business is subject to the PRC laws and regulations which may change from time to time. Because we have the majority of our operations in China and are subject to evolving PRC laws and regulations in all aspects. Recently, the PRC government has indicated an intent to strengthen regulatory oversight over offerings that are conducted overseas and/or foreign investment in China-based issuers, and initiated a series of regulatory actions and made a number of public statements, some of which are published with little advance notice before they become effective; as a result we may not have the opportunity to address such newly promulgated regulatory requirements in a timely manner. We may be subject to the approval, filing or other requirements of the CSRC or other PRC governmental authorities in connection with this offering under current PRC laws, regulations and rules. The Chinese government may intervene or influence our operations in accordance with laws and regulations if we are in violation of applicable PRC laws and regulations, or may strengthen regulatory oversight over offerings conducted overseas and/or foreign investment in China-based issuers, which could result in a material change in our operations and/or the value of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negatively affected by the potential obligations if we fail to comply with social insurance and housing provident fund related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PRC regulation of loans to and direct investment in PRC entities by offshore holding companies and relevant regulations of currency conversion may delay or prevent us from using the proceeds of this offering to make loans or additional capital contributions to our subsidiaries, which could materially and adversely affect our liquidity and ability to fund and expand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rely on funding on dividend payments from WFOE and Guangzhou Youxin, which are subject to restrictions under PRC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 and Hong Kong or a PRC or Hong Kong entity, the funds may not be available to fund operations or for other use outside of the PRC/Hong Kong.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adversely affect our business and the value of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experience difficulties in effecting service of process or enforcing foreign judgments against us, our respective executive officers and directors residing in Mainland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subsidiaries were to lose their favorable tax treatments, we could face higher tax rates than we currently pay for much of our revenues.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the requisite licenses and approvals required under the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deemed a PRC resident enterprise for PRC Enterprise Income Tax (“EIT”) purposes under the EIT Law and be subject to PRC taxation on our global income.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governing the internet industry and related businesses in China are evolving and may involve significant uncertainty.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rely on dividends paid by WFOE for our cash needs, any limitation on the ability of WFOE to pay dividends to us could have a material adverse effect on our ability to conduct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exchange transactions, including dividend payments on our Shares are subject to the PRC laws and regulations in relation to currency conversion.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complete the procedures for some acquisitions of PRC companies by foreign investors under the PRC laws and regulations, we may be unable to pursue growth through acquisitions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Class A Shares to investors and could cause the value of our Class A Shares to significantly decline or become worthless.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 and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irrevocable voting structure centralizes control in a Trust Committee, which may limit shareholder influence and entrench control, potentially misaligning governance with investor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additional costs as a result of becoming a public company, which could negatively impact our net income and liquidity.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disclose information publicly may put us at a disadvantage to competitors that are private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Class A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ordinary shares structure may negatively impact the market price of its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we cannot be certain whether the reduced reporting requirements applicable to emerging growth companies will make our ordinary shares less attractive to investors.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implement and maintain effective internal control over financial reporting in the future, investors may lose confidence in the accuracy and completeness of our financial reports and the market price of our ordinary shares may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lacks experience in managing a U.S. public company and complying with laws applicable to such company, the failure of which may adversely affect our business, financial conditions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broad discretion in the use of the net proceeds from our public offering and may not use them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eligible for future sale may adversely affect the market price of our ordinary shares, as the future sale of a substantial amount of outstanding ordinary shares in the public marketplace could reduce the price of our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liability risks stemming from our foreign status, which could make it more difficult for investors to sue or enforce judgments against our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decline to register transfers of ordinary shares in certain circumstances.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unable to present proposals before general meetings or extraordinary general meetings not called by shareholders.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difficulties in protecting your interests under the laws of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facts, forecasts and statistics contained in this prospectus are derived from a third-party report and publicly available official sources and they may not be reliable.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 “controlled company” within the corporate governance rules of the NASDAQ and, as a result, qualify for, and intend to rely on, the exemption from the requirement that our corporate governance committee be composed entirely of independent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ordinary shares has the effect of concentrating voting control with certain directors and executive officers, and limiting your ability to influence corporate matters. Such interests may conflict with yours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less than $1.235 billion in revenue as of September 30, 2025. As a result, we qualify as an “emerging growth company” as defined in the Jumpstart Our Business Startups Act of 2012 (the “JOBS Act”), and may take advantage of reduced public reporting requirements. These provisions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 in our filings with the SEC;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in the assessment of our internal control over financial reporting;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periodic reports, proxy statements and registration statements;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provisions until the last day of our fiscal year following the fifth anniversary of the date of the first sale of our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provides that an emerging growth company can take advantage of the extended transition period provided in Section 7(a)(2)(B) of the Securities Act of 1933, as amended (the “Securities Act”), for complying with new or revised accounting standards.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foreign private issuers and emerging growth companies are exempt from certain of the more extensive SEC executive compensation disclosure rules (see “</w:t>
      </w:r>
      <w:r>
        <w:rPr>
          <w:rFonts w:ascii="Times New Roman;Times;Serif" w:hAnsi="Times New Roman;Times;Serif"/>
          <w:b w:val="false"/>
          <w:i/>
          <w:caps w:val="false"/>
          <w:smallCaps w:val="false"/>
          <w:sz w:val="20"/>
        </w:rPr>
        <w:t>Implications of Being a Foreign Private Issuer</w:t>
      </w:r>
      <w:r>
        <w:rPr>
          <w:rFonts w:ascii="Times New Roman;Times;Serif" w:hAnsi="Times New Roman;Times;Serif"/>
          <w:b w:val="false"/>
          <w:i w:val="false"/>
          <w:caps w:val="false"/>
          <w:smallCaps w:val="false"/>
          <w:sz w:val="20"/>
        </w:rPr>
        <w:t>” below). Therefore, even if we no longer qualify as an emerging growth company but remain a foreign private issuer, we will continue to be exempt from such rules and will continue to be permitted to follow our home country practice as to the disclosure of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this offering, we will report under the Securities Exchange Act of 1934, as amended (the “Exchange Act”), as a non-U.S. company with “foreign private issuer” status. Even after we no longer qualify as an emerging growth company, so long as we qualify as a foreign private issuer under the Exchange Act, we are exempt from certain provisions of the Exchange Act and the rules thereunder that are applicable to U.S. domestic public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that require U.S. domestic public companies to issue financial statements prepared under U.S. GAAP;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that regulate the solicitation of proxies, consents, or authorizations in respect of any securities registered under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that require insiders to file public reports of their share ownership and trading activities and that impose liability on insiders who profit from trades made in a short period of time;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that require the filing with the SEC of quarterly reports on Form 10-Q, containing unaudited financial and other specified information, and current reports on Form 8-K, upon the occurrence of specified significant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with the SEC, within four months after the end of each fiscal year (or such other reports required by the SEC), an annual report on Form 20-F containing financial statements audited by an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Voting Trustee are made by the Trustee at the direction of the Voting Trust’s Trust Committee (the “Trust Committee”). Jinhou Sun was appointed chairman (the “Chairman”) of the Trust Committee by the Beneficiaries and Principals. The Chairman has the exclusive right to appoint the other members of the Committee and remove any members so appointed. The Voting Trust owns a controlling interest in our company and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controlled by this shareholder, may rely upon exemptions from several of Nasdaq’s corporate governance requirements, including requirements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board of directors consists of independent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officers be determined or recommended to the board of directors by a majority of its independent directors or by a compensation committee comprised solely of independent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nominees be selected or recommended to the board of directors by a majority of its independent directors or by a nominating and corporate governance committee that is composed entirely of independent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officers and directors, either individually or in the aggregate, own at least 50% of the voting power of our company, we are a “controlled company” as defined under Nasdaq Marketplace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Conventions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prospectus only, “we,” “us,” “our company,” “Company,” “our” and “Youxin” refer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a Cayman Islands company, which is the holding company issuing securities hereby;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Cloud (BVI) Ltd, wholly owned by Youxin;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Cloud (HK) Limited (“Youxin HK”), wholly owned by Youxin BVI;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Youxin Mutual Enterprise Management Co., Ltd. (“YXHW” or “WFOE”), a wholly foreign-owned entity formed by Youxin HK under the laws of the People’s Republic of China;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Youxin Technology Co., Ltd. (“Guangzhou Youxin”), a wholly owned subsidiary formed by YXHW under the laws of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conversions of certain RMB amounts into U.S. dollar amounts at a specified exchange rate solely for the convenience of the reader. The exchange rates in effect as of September 30, 2023, 2024 and 2025 were $7.23, $7.02 and $7.12, respectively. We use period-end exchange rates for assets and liabilities and average exchange rates for revenue and expenses. Capital accounts are converted at their historical exchange rates when capital transactions occurred. Any discrepancies in any table between the amounts identified as total amounts and the sum of the amounts listed therein are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this prospectus follows the English naming convention of first name followed by last name, regardless of whether an individual’s name is Chinese or English. For example, the name of the Chief Executive Officer will be presented as “Shaozhang Lin,” even though, in Chinese, Mr. Lin’s name is presented as “Lin Shaozhang.”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the industry and market data used in this prospectus supplement, the accompanying prospectus, any free writing prospectus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prospectus other than to the extent specifically cited in this prospectus. We have sought to provide current information in this prospectus and believe that the statistics provided in this prospectus remain up-to-date and reliable, and these materials are not incorporated in this prospectus other than to the extent specifically cited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all information in this prospectus assumes the underwriter does not exercise its over-allotment option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Cash to and from the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cash from Youxin HK to the WFOE, Youxin HK can increase the WFOE’s registered capital, which requires reporting to the local governmental authorities, or through a shareholder loan, which requires registration with the PRC State Administration of Foreign Exchange or its local bureau.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conduct all of our business through Guangzhou Youxin, but we may conduct business in Mainland China through the WFOE in the future. Although we do not currently intend to pay dividends, we may rely on the dividends received from the WFOE to pay dividends to our shareholders in the future.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each of their registered capitals. These reserve funds cannot be distributed as cash dividends. If our PRC subsidiaries incur debt on its own or enter into certain agreements in the future, the instruments governing the debt or such other agreements may restrict our ability to pay dividends or make other distributions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RMB into foreign currencies and the remittance of currencies out of the PRC are subject to PRC laws and regulations. We may experience difficulties in completing the administrative procedures necessary to obtain and remit foreign currency for the payment of dividends from our profits, if any. If we or our subsidiaries are unable to receive all of the revenues from our operations, we may be unable to pay dividends on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our Class A Shares will be paid in U.S. dollars. If we are considered a PRC tax resident enterprise for tax purposes, any dividends we pay to our overseas shareholders may be regarded as China-sourced income and as a result may be subject to PRC withholding tax at a rate of up to 10.0%.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entity. However, the 5% withholding tax rate does not automatically apply and certain requirements must be satisfied, including, without limitation, that (a) the Hong Kong entity must be the beneficial owner of the relevant dividends; and (b) the Hong Kong entity must directly hold no less than 25% share ownership in the PRC entity during the 12 consecutive months preceding its receipt of the dividends. In current practice, a Hong Kong entity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dividends to be paid by our PRC subsidiary to its immediate holding company, Youxin HK. As of the date of this prospectus, the WFOE currently does not have any plan to declare and pay dividends to Youxin HK and we have not applied for the tax resident certificate from the relevant Hong Kong tax authority. Youxin HK intends to apply for the tax resident certificate when the WFOE plans to declare and pay dividends to Youxin HK. When the WFOE plans to declare and pay dividends to Youxin HK and when we intend to apply for the tax resident certificate from the relevant Hong Kong tax authority, we plan to inform the investors through SEC filings, such as a current report on Form 6-K, prior to such actions. See “</w:t>
      </w:r>
      <w:r>
        <w:rPr>
          <w:rFonts w:ascii="Times New Roman;Times;Serif" w:hAnsi="Times New Roman;Times;Serif"/>
          <w:b w:val="false"/>
          <w:i/>
          <w:caps w:val="false"/>
          <w:smallCaps w:val="false"/>
          <w:sz w:val="20"/>
        </w:rPr>
        <w:t>Risk Factors – Risks Related to Doing Business in China – We are a holding company, and we rely on funding on dividend payments from WFOE and Guangzhou Youxin, which are subject to restrictions under PRC laws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any cash dividends in the foreseeable future as it intends to use the earnings for research and development, to develop new products and to expand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l_002"/>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Before you decide to purchase our ordinary shares, you should understand the high degree of risk involved. You should carefully consider the following risks and other information in this prospectus, including our consolidated financial statements and related notes. Our results of operations, financial condition, business and prospects could also be harmed by risks and uncertainties that are not presently known to us or that we currently believe are not material. If any of the following risks actually occur, our business, financial condition and operating results could be adversely affected. As a result, the trading price of our ordinary shares could decline, perhaps significantly,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ordinary shares may cause the prevailing market price of our shares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additional Class A Shares or securities convertible into or exercisable for Class A Shares could reduce the prevailing market price for our Class A Shares as well as make future sales of equity securities by us less attractive or not feasible. The sale of Class A Shares issued upon the exercise of our outstanding options could further dilute the holdings of our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Shares has been, and may continue to be, highly volatile, and such volatility could cause the market price of our Class A Shares to decrease and could cause you to lose some or all of your investment in our Class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general and the market prices of the Class A Shares on Nasdaq, in particular, are or will be subject to fluctuation, and changes in these prices may be unrelated to our operating performance. During the six-month period prior to the date of this prospectus, the market price of our Class A Shares has fluctuated significantly, and the price of our Class A Shares continues to fluctuate. We anticipate that the market prices of our shares will continue to be subject to wide fluctuations. The market price of our shares is, and will be, subject to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revenue and other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we may provide to the public, any changes in these projections or our failure to meet these projections;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products or features, technical innovations, acquisitions, strategic partnerships, joint ventures, or capital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overall stock market, including as a result of trends in the economy as a whole;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threatened or filed against 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may materially and adversely affect the market price of our shares and result in substantial losses by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Shares, whether by us or our shareholders, could cause the price of our Class A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Class A Shares in the public market, the trading price of our could decline significantly. Similarly, the perception in the public market that our shareholders might sell our Class A Shares could also depress the market price of our shares. A decline in the price of our Class A Shares might impede our ability to raise capital through the issuance of additional Class A Shares or other securities. In addition, the issuance and sale by us of additional Class A Shares, or securities convertible into or exercisable for our Class A Shares, or the perception that we will issue such securities, could reduce the trading price for our Class A Shares as well as make future sales of equity securities by us less attractive or not feasible. The sale of Class A Shares issued upon the conversion of any debt securities or the exercise of our outstanding warrants could further dilute the holdings of our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and do not intend to pay dividends on our Class A Shares. Investors in this offering may never obtain a return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dividends on our ordinary since inception, and do not intend to pay any dividends on our Class A Shares in the foreseeable future. We intend to reinvest earnings, if any, in the development and expansion of our business. Accordingly, you will need to rely on sales of your Class A Shares after price appreciation, which may never occur, in order to realize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all applicable continued listing requirements of the Nasdaq Capital Market, our Class A Shares may be delisted from Nasdaq, which could have an adverse impact on the liquidity and market price of our Class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Shares are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Class A Shares is delisted from Nasdaq and is not eligible for quotation or listing on another market or exchange, it could become more difficult to sell, or obtain accurate price quotations for, our Class A Shares, and there would likely also be a reduction in our coverage by securities analysts and the news media, which could cause the price of our Class A Shares to decline further. Also, it may be difficult for us to raise additional capital if we are not listed on a major exchange.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Shares will be delisted.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we received two deficiency letters from the Nasdaq notifying the Company (i) that the Company did not meet the minimum bid price requirement set forth in Nasdaq Listing Rule 5550(a)(2) and (ii) that the Company was not in compliance with Nasdaq Listing Rule 5550(b)(2).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subsequently determined that as of September 19, 2025, the Company’s securities had a closing bid price of $0.10 or less for ten consecutive trading days. Accordingly, the Company is subject to the provisions contemplated under Listing Rule 5810(c)(3)(A)(iii). As a result, the Company received a delisting notice from The Nasdaq Capital Market. On September 29, 2025, the Company appealed the Staff’s determination to a Hearings Panel. As previously noted, the filing of the appeal stays the delisting, and the Company’s shares continue to trade on Nasdaq. On October 2, 2025, the Company received a letter from Nasdaq stating that, based on evidence that stockholders’ equity increased to more than $2.5 million, Staff determined that the Company is in compliance with Nasdaq Listing Rule 5550(b) and the deficiency pursuant to Nasdaq listing Rule 5550(b)(2) is closed.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disclosed receipt of a notice of delisting from the Nasdaq, as a result of its Class A Shares having a closing price of less than $0.10 per share for ten consecutive trading days and failing to satisfied the minimum bid price requirement set forth in Nasdaq Listing Rule 5550(a)(2). The Company appealed this determination on September 29, 2025. On October 17, 2025, the Company received a letter from Nasdaq stating that the Company has regained compliance with the minimum bid price requirement in Listing Rule 5550(a)(2) and that the delisting hearing is therefore mooted. The Company’s securities will continue to be listed and trade on The Nasdaq Stock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Shares could be delisted from Nasdaq. A delisting of our Class A Shares and our inability to list on another national securities market could negatively impact us by: (i) reducing the liquidity and market price of our Class A Shares; (ii) reducing the number of investors willing to hold or acquire our Class A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Operational and Execution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losses since our inception, and we intend to continue to invest in our business. As a result, we may continue to experience losses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incurred net losses of approximately $9.65 million, $1.28 million and $2.34 million during the years ended September 30, 2025, 2024 and 2023, respectively.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continue to invest heavily in our product development and operations, to focus on our SaaS platform to increase our user base to support future growth, and to meet our expanded reporting and compliance obligations as a public company. We may not generate sufficient revenue to offset such costs to achieve or sustain profitability in the future.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our current cash, operational cash flow, and the amount available from issuances of Class A Shares from our initial public offering will be sufficient to fund our working capital requirements beyond the next 12 months. This belief assumes, among other things, that we will be able to raise additional equity financing, will continue to be successful in implementing our business strategy and that there will be no material adverse developments in the business, liquidity or capital requirements. If one or more of these factors do not occur as expected, it could have a material adverse impact on our activities, including (i) reduction or delay of our business activities, (ii) forced sales of material assets, (iii) defaults on our obligations, or (iv) insolvency. Our planned investments may not result in increased revenue or growth of our business. We cannot assure you that we will be able to generate revenue sufficient to offset our expected cost increases and planned investments in our business and platform. As a result, we may incur significant losses for the foreseeable future, and may not be able to achieve and/or sustain profitability. If we fail to achieve and sustain profitability, then we may not be able to achieve our business plan, fund our business or continue as a going concern. The financial statements included in this report do not contain any adjustments which might be necessary if we were unable to continue as a going concern.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subsidiary Guangzhou Youxin’s PaaS platform to provide customized system development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 from customized system development services through Guangzhou Youxin’s PaaS platform. As such, any significant interruptions to the PaaS platform by hacking, cyberattack or due to telecommunication failures, power shortages, natural disasters or other events which may cause disruptions in our daily operations, may reduce the attractiveness of our services, and result in a potential loss of our clients and their participation and consequently, our business and results of operations could be adversely affected. In addition, any measures to avoid information and technological system failures may not be effective or successful.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making it difficult to forecast our future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in 2018. Due to the limited operating history, our ability to accurately predict future operating results is limited and subject to a number of uncertainties, including our capacity to plan for future growth. Our past revenue growth is not necessarily indicative of our future performance.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future periods, our revenue growth could slow down or our revenue could decline for a number of reasons, including slowing demand for our products,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the business could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insufficient computing resources, transmission bandwidth and storage space, which could result in disruptions and the business, results of operations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in part upon transmission bandwidth provided by third-party telecommunications network providers for access to data centers to house our servers and other computing resources. There can be no assurance that we are adequately prepared for unexpected increases in bandwidth and data center demands by our clients and their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adequate transmission bandwidth at fair market prices, if at all. This risk is heightened where market power is concentrated with one or a few major networks. We also may be unable to move quickly enough to improve the capacity to reflect growing traffic or security demands. Failure to put in place the capacity could result in a reduction in, or disruption of, service to our customers and ultimately a loss of those customers. Such a failure could result in our inability to acquire new customers when demanding capacity that is not available on our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services involve the storage and transmission of our clients’ and their customers’ proprietary and other sensitive data, including financial information and other personal information. While we have security measures in place to protect our clients’ and their customers’ data, our services and underlying infrastructure may in the future be materially breached or compromised as a result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attempts to fraudulently convince our employees, partners or clients to disclose sensitive information such as usernames, passwords or other information to gain access to our clients’ data or IT systems, or our data or our IT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by individuals or groups of hackers and sophisticated organizations, such as state-sponsored organizations or nation-states, to launch coordinated attacks, including ransomware and distributed denial-of-service attacks;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attempts to abuse our marketing, advertising or social platforms to impersonate persons or organizations and disseminate information that is false or misleading;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on our internally built infrastructure on which many of our services operate, or on third-party cloud-computing platform providers;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vulnerabilities resulting from enhancements and updates to our existing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vulnerabilities existing within new technologies and infrastructures, including those from acquired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on, or vulnerabilities in, the many different underlying networks and services that power the internet our products depend on, most of which are not under our control or the control of our vendors, partners or clients;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or contractor errors or intentional acts that compromise our security systems.</w:t>
            </w:r>
          </w:p>
        </w:tc>
      </w:tr>
    </w:tbl>
    <w:p>
      <w:pPr>
        <w:pStyle w:val="TextBody"/>
        <w:shd w:fill="FFFFFF" w:val="clear"/>
        <w:bidi w:val="0"/>
        <w:spacing w:before="0" w:after="0"/>
        <w:ind w:left="44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changes in our work environment as a result of the COVID-19 pandemic could adversely affect our security measures, as well as our ability to address and respond to incidents quickly. 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the clients’ and their customers’ proprietary and other sensitive data, we can provide no assurances that such measures will provide absolute security or that a material breach will not occur. For example, our ability to alleviate these risks may be impacted by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frequent changes to and growth in complexity of the techniques that is used to breach, obtain unauthorized access to, or sabotage to our IT systems and infrastructure, which are generally not recognized until it is launched against a target, and could result in our being unable to anticipate or implement adequate measures to prevent such techniques;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evolution of our internal IT system while sharing data and communicating internally and with our partners and clients, which increases the complexity of the IT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by our clients to third-party technology providers to access client’s customer data, which may lead to the clients’ inability to protect their data that is stored on our servers;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control over the clients or third-party technology providers, or the processing of data by third-party technology providers, which may not allow us to maintain the integrity or security of such transmissions or processing.</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such identified security alerts have not been material or significant to us, including to our reputation or business operations. There can be no assurance that future cyberattacks will not be material or significant. Additionally, as our market presence grows, we may face increased risks of cyberattack attempts or security threats.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breach or incident could result in unauthorized parties obtaining access to, or the denial of authorized access to our IT systems or data, or our clients’ systems or data, including intellectual property and sensitive or other confidential information. A security breach could also result in a loss of confidence in the security of our services, damage our reputation, negatively impact our future sales, disrupt our business and lead to increases in insurance premiums and legal, regulatory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 and the reallocation of resources from development activities.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prevent security breaches, improper access to or disclosure of our data or user data, or if it experiences other hacking and attacks, we may lose our users and the business; our reputation, financial condition and results of operations may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employed significant resources to develop our security measures against breaches. Although we have not experienced any material disruptions, outages, cyberattacks, attempts to breach our systems, or other similar incidents and do not expect the occurrence of such incidents in the future, our cybersecurity measures may not detect, prevent or control all attempts to compromise the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it otherwise maintains. Breaches of our cybersecurity measures could result in unauthorized access to our systems, misappropriation of information or data, deletion or modification of client information, or a denial-of-service or other interruption to our business operations. As techniques used to obtain unauthorized access to or sabotage systems change frequently and may not be known until launched against us or our supporting service providers, we may not be able to anticipate, or implement adequate measures to protect against these attacks.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likely in the future to be subject to these types of attacks. If we are unable to avert these attacks and security breaches, we could be subject to significant legal and financial liabilities, our reputation would be harmed and we could suffer substantial revenue loss from lost sales and client dissatisfaction. We may not have the resources or technical sophistication to anticipate or prevent rapidly evolving types of cyber-attacks. Cyber-attacks may target us, our suppliers, clients or other participants, or the internet infrastructure on which the business depends. Actual or anticipated attacks and risks may cause us to incur significantly higher costs, including costs to deploy additional personnel and network protection technologies, train employees, and engage third-party experts and consultants. Cybersecurity breaches would not only harm our reputation and business, but also could materially decrease our revenue and net income.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or disruptions in our services could reduce demand for our services and subject it to substantial liability.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services are complex and they incorporate a variety of hardware, proprietary software and third-party software, these services may have errors or defects that could result in unanticipated downtime for the clients and causes damage to our reputation and the business. Cloud services frequently contain undetected errors when first introduced or when new versions or enhancements are released. We have from time to time found defects in and experienced disruptions to our services, and new defects or disruptions may occur in the future. Such defects could be the result of any employee, contractor or other third-party acts or inaction, and it could negatively affect our brand and reputation. Additionally, such defects could create vulnerabilities that could inadvertently permit access to our protected clients’ data.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clients may use the services in unanticipated ways that may cause a disruption in the services for other clients attempting to access their data. If we acquire any companies, we may encounter difficulty in integrating the acquired technologies into our own services and in augmenting the technologies to meet the quality standards that are consistent with our brand and reputation. As a result, our services may have errors or defects resulting from the complexities of integrating acquisitions.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clients use our services for important aspects of their business, any errors, defects and disruptions in service, update of our services or other performance problems could hurt our reputation and may damage our clients’ businesses. As a result, clients could assert claims against us, elect to not renew our services or delay or withhold payment to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proprietary information or other intellectual property,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rely on a combination of copyright, trademark and trade secret laws and contractual restrictions through confidentiality, non-disclosure and invention assignment agreements with the key employees and third parties with whom we do business to establish, maintain and protect proprietary information and other intellectual property. </w:t>
      </w:r>
      <w:r>
        <w:rPr>
          <w:rFonts w:ascii="Times New Roman;Times;Serif" w:hAnsi="Times New Roman;Times;Serif"/>
          <w:b w:val="false"/>
          <w:i w:val="false"/>
          <w:caps w:val="false"/>
          <w:smallCaps w:val="false"/>
          <w:sz w:val="20"/>
          <w:shd w:fill="FFFFFF" w:val="clear"/>
        </w:rPr>
        <w:t xml:space="preserve">These agreements may not effectively prevent disclosure of our confidential information, and it may be possible for unauthorized parties to copy the software or other proprietary technology or information, or to develop similar software independently with us lacking an adequate remedy for unauthorized use or disclosure of the confidential information. </w:t>
      </w:r>
      <w:r>
        <w:rPr>
          <w:rFonts w:ascii="Times New Roman;Times;Serif" w:hAnsi="Times New Roman;Times;Serif"/>
          <w:b w:val="false"/>
          <w:i w:val="false"/>
          <w:caps w:val="false"/>
          <w:smallCaps w:val="false"/>
          <w:sz w:val="20"/>
        </w:rPr>
        <w:t>We may not be able to efficiently detect and prevent all misappropriation, unauthorized use or reverse engineering of the proprietary information and other intellectual property. For example, contractual restrictions may be breached, and we may not succeed in enforcing our rights or have adequate remedies for any breach of laws or contractual restrictions.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trade secrets may be disclosed to or otherwise become known or be independently developed by competitors, and in these situations we may have no or limited right to stop others’ use of our information. Furthermore, to the extent that the employees or other third parties with whom we do business use intellectual property owned by others in their work, disputes may arise as to the rights to such intellectual property. If, for any of the above reasons, our intellectual property is disclosed or misappropriated, it would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our clients from third-party data center hosting facilities and cloud computing platform providers located in China. We also rely on computer hardware purchased or leased from, software licensed from, and cloud computing platforms provided by third parties in order to offer our services including database software, hardware and data from a variety of vendors. Any disruption or damage to, or failure of our systems generally, including the systems of the third-party platform providers, could result in interruptions in our services. We have from time-to-time experienced interruptions in our platform and such interruptions may occur in the future. As our reliance on these third-party systems increases, particularly with respect to third-party cloud computing platforms, our exposure to damage from service interruptions may increase. Interruptions in our services may result in penalties, may cause the clients to make warranty or other claims against us or to terminate their service agreement with us, and adversely affect our attrition rates and our ability to attract new clients, all of which would reduce our revenue. Our business and reputation would also be harmed if our clients and potential clients believe the services are unreliable.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production environment and clients’ data are replicated in near real time in facilities located on the third-party cloud storage facilities located mainly in Eastern China. We do not control the operation of any of these facilities and they may be vulnerable to damage or interruption from earthquakes, floods, fires, power loss, telecommunications failures and similar events. These facilities may also be subject to break-ins, sabotage, intentional acts of vandalism and similar misconduct, as well as local administrative actions (including shelter-in-place or similar orders), and changes to legal or permitting requirements and litigation to stop, limit or delay operation. Despite precautions taken at these facilities, such as disaster recovery and business continuity arrangements, the occurrence of a natural disaster or pandemic (including the COVID-19 pandemic), an act of terrorism, a decision to close the facilities without adequate notice or other unanticipated problems at these facilities could result in lengthy interruptions in our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hardware, software, data and cloud computing platforms may not continue to be available at reasonable prices, on commercially reasonable terms or at all. Any loss of the right to use any of these hardware, software or cloud computing platforms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accurately plan for the infrastructure capacity requirements and if we experience significant strains on our data center capacity, our clients could experience performance degradation or service outages that may subject them to financial liabilities and result in client losses and harm to our reputation and business. We only export client data and provide it to the client via a manual process by the database administrator if the client requests it in a form of log flow while the client will not have direct export or download access. As of the date of this prospectus, there are not any instances in which we have provided, transferred, or disclosed data information without a client request. Despite precautions taken during this process, any unsuccessful data transfers may impair the delivery of our services, which may affect the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Supporting our existing and growing client base could strain our personnel resources and infrastructure, and if we are unable to scale up our operations and increase productivity, we may not be able to successfully implement our business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experience significant growth in our client base and personnel, which has placed a strain on and in the future may stress the capabilities of our management, administrative, operational and financial infrastructure. We anticipate that significant additional investments will be required to scale up our operations and increase productivity, to address the needs of our clients, to further develop and enhance our services, and to expand into new geographic areas for an overall growth. The additional investments will increase our cost base, which will make it more difficult for us to offset any future revenue shortfalls by reducing expenses in the short term. We may not be able to make these investments as quickly or effectively as necessary to successfully scale up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upgrade or replace our various software systems and processes. If the implementations of these new applications are delayed, or if we encounter unforeseen problems with our new systems and processes while migrating away from the existing systems and processes, our operations and our ability to manage the business could be negatively impacted. For example, our efforts to further automate our processes for client contracts may be complicated by unanticipated operating difficulties.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will depend in part upon the ability of our senior management to manage our projected growth effectively. To do so, we must continue to increase the productivity of our existing employees and to hire, train and manage new employees as needed. We have offered a mixture of work-from-home and onsite working model to all employees. Our new office model and any adjustments made to our current and future office environment or work-from-home policies may not meet the needs and expectations of our workforce, which could negatively impact our ability to attract and retain employees.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up our operations and increase productivity, we may be unable to execute our business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Class A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have no obligation to renew their subscriptions for our services after the expiration of their contractual professional service period, which is typically 12 months. In general, we will give clients 2 to 3 months’ notice before contract expiration to make a decision on renewal. If the clients choose not to renew, we will discontinue the service when the service term expires. In the normal course of business, some clients have elected not to renew or upgrade. In addition, our clients may renew for fewer subscriptions, renew for shorter contract lengths. It is difficult to predict attrition rates given our varied client base and the number of periodic professional service contracts. Our attrition rates may increase or fluctuate as a result of a number of factors, including client dissatisfaction with our services, clients’ spending levels, mix of client base, decreases in the number of users with our clients, competition, pricing increases or changes and deteriorating general economic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in part on our ability to sell additional features and support services, renewal subscription or enhanced editions of our services to the current clients. Similarly, the rate at which our clients purchase new or enhanced services depends on a number of factors, including general economic conditions and that the clients do not react negatively to any price changes related to these additional features and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clients do not renew their services, do not purchase additional features, support services or renewal subscriptions or if attrition rates increase, our business could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small number of customers to derive a significant portion of our net revenues and this dependence is likely to continue.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 a significant portion of our net revenues from a limited number of major clients. For fiscal years ended September 30, 2025, 2024, and 2023, three, three and four of our customers each accounted for 10% or more of our total net revenue and collectively accounted for approximately 84%, 77% and 76% of our total net revenues, respectively. Our ability to maintain close relationships with these major clients is essential to the success of our business. However, the purchase orders placed by specific clients may vary from period to period, and we typically do not have long-term purchase commitments from our clients. As a result, most of the clients could reduce or cease their use of our products and services at any time without any penalty or termination charges. A major client in one year may not provide the same level of revenues for it in any subsequent year. In addition, reliance on any individual client for a significant portion of our revenues may give that client a degree of pricing leverage when negotiating contracts and terms of service with us.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typically enter into service agreements with our major clients relative to the technological services we provide, which generally outline the specific services we would provide, the service fees and the terms of service. Any data collected by the clients belong to such clients and they shall implement such rules and policies in relation to the data protection as required by applicable PRC laws and regulations. In addition, if we are in material default as specified under the agreement, we may be subject to payment of liquidated damages and return of any service fees we have received and the client will have the right to terminate the agreement. However, if the client terminates the agreement without any cause, the client shall make full payment of the service fees to us.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terms of our sales process, the larger clients may demand more configuration, integration services and features. Because of these factors, these sales opportunities may require us to provide more sales support and professional service resources to each client. This could increase the costs and time needed to close sales and shift our own sales and professional service resources to a smaller number of larger transactions. It could also require us to delay revenue recognition on some of these transactions until the technical or implementation requirements have been met. But if our capability to provide standard SaaS products improves in the future, we may gradually rely less on large clients.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large clients, professional services may also be performed by us, a third party, or a combination of our own staff and a third party. Our strategy is to work with those third parties to increase the breadth of capability and depth of capacity for delivery of these services to our clients. If a client is not satisfied with the quality of work performed by us or a third party or with the type of services or solutions delivered, it could incur additional costs to address the situation which could impair the profitability of a project while the client’s dissatisfaction with our services could damage our ability to obtain additional work from that client. In addition, negative publicity related to our client relationships, regardless of our accuracy, may further damage the business by affecting our ability to compete for new business with current or prospective clients.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key members of the management team or development and operations personnel and may be unable to attract and retain employees we need to support operations and growth.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substantially upon the continued services of our executive officers and other key members of management. From time to time, there may be changes in the executive management team resulting from the hiring or departure of executives. We are also substantially dependent on the continued service of the existing development and operations personnel because of the complexity of our services and technologies. Our executive officers, key management, development or operations personnel could terminate their employment with us at any time. The loss of one or more of these key employees or groups of employees could seriously harm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technology industry is subject to substantial and continuous competition for engineers with high levels of experience in designing, developing and managing software and internet-related services, as well as competition for sales executives, data scientists and operations personnel. We are committed to building a diverse workforce. We have experienced, and continue to experience, significant competition in talent recruitment and retention, and may not in the future be successful in our talent recruitment and retention or achieving the diversity goals we have set. We have from time to time experienced, and we expect to continue to experience, difficulty in hiring, developing, integrating and retaining highly skilled employees with appropriate qualifications. If we fail to attract new personnel or fail to retain and motivate the current personnel, the business and future growth prospects could be severely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in our delivery of high-quality professional and technical support services may adversely affect our relationships with our clients and our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depend on our support establishment to resolve technical issues relating to the platform. We may be unable to respond quickly enough to accommodate short-term increases in client demand for support services across our varying and diverse products. Outsourced technical support may be suddenly and adversely impacted by unforeseen events, for example, as it occurred when certain business process outsourced were delayed due to conditions related to the COVID-19 pandemic. In addition, our sales process is highly dependent on our applications and business reputation and on positive recommendations from the existing clients. Any failure to maintain high-quality technical support, or a market perception that we do not maintain high-quality support, could adversely affect our reputation, our ability to sell our service to existing and prospective clients, and our business, operating results and financial position.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and Industry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operate in an emerging and evolving market. </w:t>
      </w:r>
      <w:r>
        <w:rPr>
          <w:rFonts w:ascii="Times New Roman;Times;Serif" w:hAnsi="Times New Roman;Times;Serif"/>
          <w:b/>
          <w:i/>
          <w:caps w:val="false"/>
          <w:smallCaps w:val="false"/>
          <w:sz w:val="20"/>
          <w:shd w:fill="FFFFFF" w:val="clear"/>
        </w:rPr>
        <w:t>If our market does not grow, or if it cannot expand our products and services to meet the demands of this market</w:t>
      </w:r>
      <w:r>
        <w:rPr>
          <w:rFonts w:ascii="Times New Roman;Times;Serif" w:hAnsi="Times New Roman;Times;Serif"/>
          <w:b/>
          <w:i/>
          <w:caps w:val="false"/>
          <w:smallCaps w:val="false"/>
          <w:sz w:val="20"/>
        </w:rPr>
        <w:t>, and if we do not compete effectively, our operating results could be harmed</w:t>
      </w:r>
      <w:r>
        <w:rPr>
          <w:rFonts w:ascii="Times New Roman;Times;Serif" w:hAnsi="Times New Roman;Times;Serif"/>
          <w:b/>
          <w:i/>
          <w:caps w:val="false"/>
          <w:smallCaps w:val="false"/>
          <w:sz w:val="20"/>
          <w:shd w:fill="FFFFFF" w:val="clear"/>
        </w:rPr>
        <w:t>, our revenue may decline, or fail to grow, and may continue to incur operating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PaaS cloud service market is at an early stage of development in China. There are uncertainties over the size and rate at which this market will grow, as well as whether our solutions and products will be widely adopted. Moreover, the cloud industry is subject to rapid technological change, evolving industry standards, regulations, as well as changing client needs, requirements and preferences. The success of our business will depend, in part, on our ability to adapt and respond effectively to these changes on a timely basis. If it is unable to develop new solutions and products that satisfy our clients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 Our current competitors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with internally developed applications (by our current and potential clients’ IT departments);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of packaged business software, as well as companies offering enterprise applications delivered through on-premises infrastructure, enterprise software application vendors and cloud computing application service providers, either individually or with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companies that provide their product or service free of charge as a single product or when bundled with other offerings, or only charge a premium for advanced features and functionality;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who offer software tailored to specific services that are more directed toward those specific services than our full suite of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of traditional business intelligence and data preparation products, as well as business analytics software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vendors, which may specialize in advertising, targeting, messaging, or campaign automation;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and emerging cloud-only vendors and established on-premises vendors with e-commerce solutions productivity tool and email providers, unified communications providers and consumer application companies that have entered the business software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platform development environment companies and cloud computing development platform companies who may develop toolsets and products that allow clients to build new applications and run on the clients’ current infrastructure or as hosted services.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more competition as we expand product sale and marketing. Some of our current and potential competitors may have competitive advantages, such as greater name recognition, longer operating histories, more significant installed bases, broader geographic scope, broader suites of service and larger marketing budgets, as well as substantially greater financial, technical, personnel and other resources. In addition, many of our current and potential competitors have established marketing relationships and access to larger customer bases, and have major distribution agreements with consultants, system integrators and resellers. We also experience competition from smaller, younger competitors that may be more agile in responding to customers’ demands. These competitors may be able to respond more quickly and effectively than we can to new or changing opportunities, technologies, standards or customer requirements or provide more competitive pricing. As a result, even if our services are more effective than the products and services that our competitors offer, potential customers might select competitive products and services in lieu of purchasing our services. For all of these reasons, we may not be able to compete successfully against our current and future competitors, which could negatively impact our future sales and harm the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effectively develop and expand our marketing and sales capabilities could harm our ability to increase our customer base and achieve broader market acceptance of our products and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spent more effort in research and technology to improve our services to attract clients and satisfy their customized needs. Our ability to further increase our customer base and achieve broader market acceptance of our platform will significantly depend on our ability to expand our marketing and sales operations. We also plan to dedicate significant resources to sales and marketing programs. All of these efforts will require us to invest significant financial and other resources and if that fails to attract additional customers and end users our business will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efforts to expand the sale and marketing and to develop and integrate the existing services in order to keep pace with technological developments may not succeed and may reduce our revenue growth rate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obtain a significant portion of our revenue from our PaaS cloud services and we expect this will continue for the foreseeable future. Our efforts to expand our current service may not succeed and may reduce our revenue growth rate. </w:t>
      </w:r>
      <w:r>
        <w:rPr>
          <w:rFonts w:ascii="Times New Roman;Times;Serif" w:hAnsi="Times New Roman;Times;Serif"/>
          <w:b w:val="false"/>
          <w:i w:val="false"/>
          <w:caps w:val="false"/>
          <w:smallCaps w:val="false"/>
          <w:sz w:val="20"/>
          <w:shd w:fill="FFFFFF" w:val="clear"/>
        </w:rPr>
        <w:t xml:space="preserve">To attract new clients and end users and keep our existing ones engaged, we must introduce new products and services and upgrade our existing offerings to meet their evolving preferences. </w:t>
      </w:r>
      <w:r>
        <w:rPr>
          <w:rFonts w:ascii="Times New Roman;Times;Serif" w:hAnsi="Times New Roman;Times;Serif"/>
          <w:b w:val="false"/>
          <w:i w:val="false"/>
          <w:caps w:val="false"/>
          <w:smallCaps w:val="false"/>
          <w:sz w:val="20"/>
        </w:rPr>
        <w:t>We have launched our new SaaS standard product called Yunzhuidan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and will optimize the product functions based on its operation. It is uncertain whether our efforts and related investments will ever result in significant revenue. It is difficult to predict the preferences of a particular client or a specific group of customers. Changes and upgrades to our existing products may not be well received by our clients and end users, and newly introduced products or services may not achieve success as expected. For example, we may try to introduce more SaaS products for new industry verticals, with which we have little or no prior experience. Such efforts may require us to contribute a substantial amount of additional manpower and financial resources. We cannot ensure that any of such new products will achieve market acceptance or generate sufficient revenues to adequately compensate for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the existing products and introduce new ones in a timely or cost-effective manner, our ability to attract and retain clients and end users may be impaired, and our financial performance and prospects may be adversely affected. In addition, we may be required to continuously enhance our artificial intelligence so that quality undertaking can be provided to our clients. Further, the introduction of significant platform changes and upgrades may not succeed, and early-stage interest and adoption of such new services may not result in long term success or significant revenue for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develop enhancements to, and new features for, our existing or new services that keep pace with rapid technological developments, our business could be harmed. The success of enhancements, new features and services depends on several factors, including the timely completion, introduction and market acceptance of the feature, service or enhancement by clients, administrators and developers, as well as our ability to seamlessly integrate all of our product and service and develop adequate selling capabilities in new markets. Failure in this regard may significantly impair our revenue growth as well as negatively impact our operating results if the additional costs are not offset by additional revenues. In addition, because our services are designed to operate over various network technologies and on a variety of mobile devices, and our operating systems and computer hardware and software platforms use a standard browser, we will need to continuously modify and enhance our services to keep pace with changes in internet-related hardware, software, communication, browser, application development platform, WeChat Mini program platform and database technologies, as well as continue to maintain and support our services on legacy systems. We may not be successful in either developing these modifications and enhancements or in bringing them to market timely.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we fail to anticipate or identify significant internet-related and other technology trends and developments early enough, or if we do not devote appropriate resources to adapting to such trends and developments, our business could be harmed. Uncertainties about the timing and nature of new network platforms or technologies, or modifications to existing platforms or technologies, including text messaging capabilities, or changes in client usage patterns thereof, could increase our research and development effort or service delivery expenses or lead to our increased reliance on certain vendors. Any failure of our services to operate effectively with future network platforms and technologies could reduce the demand for our services, result in client dissatisfaction and harm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continued success depends on our ability to maintain and enhance our brands.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brand identities that we have developed, including associations with trust, client priority and innovation, have significantly contributed to the success of our business. Maintaining and enhancing our brands are critical to expanding our base of clients, partners and employees. Our brands’ strength, particularly for our core services, will depend largely on our ability to remain a technology advantage and continue to provide high-quality innovative products, services and features securely reliably and in a manner that enhances our clients’ success even as we scale up and expand our services. In order to maintain and enhance the strength of our brands, we may make substantial investments to expand or improve our product and services or enter new markets that may be accompanied by initial complications or ultimately prove to be unsuccessful.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enhance or protect our brands, or if we incur excessive expenses in our efforts to do so, our business, operating results and financial condition may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willingness of a growing community of third-party developers and implementation engineers to build applications and provide integrations, data and content that are complementary to our services. Without the continued development of these applications and provision of such integrations, data and content, both current and potential clients may not find our services sufficiently attractive, which could impact future sales. In addition, for those clients who authorize a third-party technology partner access to their data, it does not provide any warranty related to the functionality, security or integrity of the data access, transmission or processing. Despite contract provisions to protect us, clients may look to us to support and provide warranties for the third-party applications, integrations, data and content, even though those are not developed or sold by us, which may expose us to potential claims, liabilities and obligations, all of which could harm our reputation and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generally recognize revenue over the term of our customer agreements, downturns or upturns in new business may not be immediately reflected in our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clients ratably over the terms of their service and support agreements, which are typically 12 months. As a result, most of the revenue we report in each quarter is the result of subscription and support agreements entered into during previous quarters. Consequently, a decline in new or renewed service in any one quarter may not be reflected in our revenue results for that quarter. Any such decline, however, will negatively impact our revenue in future quarters. Accordingly, the effect of significant downturns in sales and market acceptance of our services, and changes in our attrition rate, may not be fully reflected in our results of operations until future periods.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benefit from integration of our products and services with those of our business partners. If these business partners choose not to partner with us in the future, our business and results of operations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benefit from integration of our products and services with our business partners, for example, we are a member of Tencent’s Cloud Native Accelerator, cooperating with Tencent’s WeCom, regarding implementation. We also work with implementers such as Bluelinksys.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Legal and Regulatory Risks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and regulations related to the internet or changes in the internet infrastructure itself may diminish the demand for our products and solutions, and could adversely affect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success of our business depends upon the continued use of the internet as a primary medium for commerce, communications and business applications. Chinese government bodies or agencies have in the past adopted, and may in the future adopt, laws or regulations affecting IT companies.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would limit the growth of the internet-related commerce or communications generally or result in reductions in the demand for internet-based products and services such as our products and platform. Furthermore,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renew, or retain licenses, permits or approvals or failure to comply with applicable laws and regulations may affect our ability to conduct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licensing requirements within the PRC cloud service industry are constantly evolving and we may be subject to more stringent regulatory requirements due to changes in the political or economic policies in China. The failure to obtain and/or maintain the licenses and permits required to conduct our business may subject us to various penalties, including confiscation of revenues, imposition of fines and/or restrictions on our business operations, or the discontinuation of our operations. Any such disruption in our business operations could materially and adversely affect our business, financial condition and results of operations. See “Regulations” for more details. However, we cannot assure you that we will be able to successfully obtain the licenses, including but not limited to the value-added telecommunication licenses with local counterparts of the Ministry of Industry and Information Technology, or the MIIT, if it is required under applicable laws and regulations in the future on a timely basis. Failure to do so may materially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WFOE has obtained the registration certificate of foreign exchange on September 4,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obtain registration or protection of our intellectual property rights could impair our ability to protect our proprietary technology and our brand, causing us to incur significant expenses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our intellectual property rights adequately, our competitors may gain access to our technology, affecting our brand, causing us to incur significant expenses and harming our business. Any of our patents, trademarks or other intellectual property rights may be challenged by others or invalidated through administrative process or litigation. While we have many Chinese patents and pending Chinese and international patent applications, we may be unable to obtain patent protection for the technology covered in our patent applications or the patent protection may not be obtained quickly enough to meet our business needs. In addition, our existing patents and any patents issued in the future may not provide us with competitive advantages or may be challenged by third parties. Despite our efforts, we may still be unable to prevent third parties from using our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spend significant resources and expenses to monitor and protect our intellectual property rights. We may initiate claims or litigation against third parties for infringement of our proprietary rights or to establish the validity of our proprietary rights. If we fail to protect our intellectual property rights, it could impact our ability to protect our technology and brand. Furthermore, any litigation, whether it is resolved in our favor, could result in significant expense to us, causing us to divert time and resources from our core business which results in harming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by third parties for intellectual property infringement.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and internet industries are characterized by the existence of a large number of patents, trademarks, trade secrets and copyrights and by frequent litigation based on allegations of infringement or other violations of intellectual property rights. We depend to a large extent on our ability to effectively develop and maintain intellectual property rights relating to the business. However, we cannot assure you that third parties will not put forward claims that our business infringes upon or otherwise violates patents, copyrights or other intellectual property rights which they hold, whether valid or otherwise. For example, some of the trademarks we use are not registered with the competent authorities. We may face allegations that we have infringed the trademarks, copyrights, patents and other intellectual property rights of third parties, including our competitors, or allegations that we are involved in unfair trade practices. Our PaaS cloud service business and SaaS standard product may become involved in litigious proceedings relating to allegations of infringement of intellectual property rights, unfair competition, invasion of privacy, defamation and violations of rights of third parties. The validity, enforceability and scope of protection of intellectual property rights, particularly within China, are still evolving. As we may face increasing competition and as litigation becomes a more commonly pursued method for resolving commercial disputes in China, we may face a higher risk of being the subject of intellectual property infringement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against intellectual property claims is costly, time-consuming and can impose a significant burden on our management and resources. Further, there is no guarantee that we can obtain favorable final outcomes in all cases. Any adverse determination or settlement related to intellectual property claims or other litigation could prevent us from offering our services to others, could be material to our financial condition or cash flows, or both, or could otherwise adversely affect our operating results, including our operating cash flow in a particular period. In addition, depending on the nature and timing of any such dispute, an unfavorable resolution of a legal matter could materially affect our current or future results of operations or cash flows in a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operate in a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PRC government has enacted legislation relating to internet use to protect personal information from any unauthorized disclosure. For example, On August 22, 2019, the Cyberspace Administration of China (“CAC”) issued the Regulation on Cyber Protection of Children’s Personal Information, effective on October 1, 2019. On November 28, 2019, CAC, the General Office of the Ministry of Industry and Information Technology (“MIIT”), the General Office of the Ministry of Public Security (“MPS”) and the General Office of the State Administration for Market Regulation (“SAMR”) promulgated the Method for Identifying the Illegal Collection and Use of Personal Information by Apps, taking effect on November 28, 2019. The Cybersecurity Law of the PRC (the “Cybersecurity Law”), as adopted by the Standing Committee of the National People’s Congress (“SCNPC”) on November 7, 2016, has come into force on June 1, 2017. In addition, SCNPC promulgated the Data Security Law of the People’s Republic of China (the “Data Security Law”) on June 10, 2021, which became effective on September 1, 2021. The Administrative Provisions on Security Vulnerability of Network Products (the “Provisions”) was jointly promulgated by the MIIT, the CAC and the MPS on July 12, 2021 and took effect on September 1, 2021. Personal Information Protection Law (the “Personal Information Protection Law”) was promulgated in August 2021 and became effective on November 1, 2021. On December 28, 2021, the CAC and certain other PRC regulatory authorities promulgated the Measures for Cybersecurity Review (the “Cybersecurity Review Measures”). The Cybersecurity Review Measures took effect on February 1, 2022 and replace the Measures for Cybersecurity Review promulgated in April 2020. On July 7, 2022, the CAC promulgated the Measures on Security Assessment of Cross-border Data Transfer, which became effective on September 1, 2022. On December 8, 2022, the MIIT issued the Measures for Data Security Administration in the Industry and Information Technology Field (Trial Implementation) (the “Administration Measures”), which became effective on January 1, 2023. See “Regulations”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laws and regulations are relatively new and subject to interpretation by the regulator. Although we only gain access to limited personal contact information that is necessary for, and relevant to, the services provided, we cannot assure you that whether the data we obtain, and use may include information that is deemed as “personal information” under the PRC Cyber Security Law and related data privacy and protection laws and regulations. We have placed great emphasis on protection of consumer’s data privacy and have established the information security management system; we have adopted rigorous data security measures to prevent our data from unauthorized access or use or being retrieved to establish any connection with the device owners’ identities. We will store the mobile phone number, ID number and address information of users in the order and payment module. However, such information is desensitized, so we do not have the ability to access user information in the whole chain. Technically, we have symmetric key to protect the security of customers. 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In addition, there has been an increase in regulatory activities in connection with privacy and data protection in China, and the regulatory landscape is becoming more complex with increasingly strict requirements. We may be subject to litigation or enforcement action or reduced demand for the solutions or services if our suppliers or our clients fail to abide by applicable privacy laws or to provide adequate notice and/or obtain consent from end users. Any proceeding or perception of concerns relating to our collection, use, disclosure, and retention of data, including our security measures applicable to the data we collect, whether or not valid, could adversely affect our reputation.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it could harm our reputation and brand, damage our relationships with consumers and have a material and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or alleged failure to comply with data privacy and protection laws and regulations could have a serious adverse effect on our reputation, and discourage current and potential consumers and users from using our services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platform company that processes and analyzes user data to generate revenue. Instead, we are purely an enterprise software service company that only charges for product features. While we have adopted some measures to comply with the laws and regulations relating to the protection of personal information in China, we cannot guarantee the effectiveness of these measures. Any failure or perceived failure to comply with all applicable data privacy and protection laws and regulations, any failure or perceived failure of our employees to comply with our internal control measures, may result in negative publicity and legal proceedings or regulatory actions against it, and could damage our reputation, discourage current and potential agents, consumers and service providers from using the services and subject it to fines and damages, which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regard to our commercial arrangements, we and our counterparties, including third-party developers and external service providers, might be subject to contractual obligations regarding the processing of personal data. While we believe </w:t>
      </w:r>
      <w:r>
        <w:rPr>
          <w:rFonts w:ascii="Times New Roman;Times;Serif" w:hAnsi="Times New Roman;Times;Serif"/>
          <w:b w:val="false"/>
          <w:i w:val="false"/>
          <w:caps w:val="false"/>
          <w:smallCaps w:val="false"/>
          <w:sz w:val="20"/>
          <w:shd w:fill="FFFFFF" w:val="clear"/>
        </w:rPr>
        <w:t>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cover all significant risk exposures.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 in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legal and other proceedings arising out of our operations from time to time and may face significant liabilities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disputes arising from our operations. These disputes may lead to various legal or other proceedings and may result in substantial costs, damages to our brand and reputation and a diversion of resources and management’s attention. In addition, we may have disagreements with regulatory bodies in the course of our operations which may subject us to administrative proceedings and unfavorable decrees that result in pecuniary liabilities or otherwise disrupt the business operations. We cannot assure you that we will not be involved in any major disputes or legal or other proceedings in the future. Furthermore, we seek to structure our business in a tax efficient manner. If any of our arrangements is successfully challenged by the relevant tax authorities, we may incur additional tax liabilities, which could adversely affect our financial condition or results of operations. On top of that, from time to time our directors and senior management may be parties to litigation or other legal proceedings. Even though we may not be directly involved in such proceedings, such proceedings may affect our reputation and, consequently, adversely impact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limited number of suppliers, manufacturers, and logistics partners for our products. A loss of any of these partners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and customers for our products, which exposes to supply chain and other risks. We have previously experienced, and may experience in the future, logistical constraints that cause delays. Although we believe we have redundancy and alternatives for the suppliers for the key components of our products, our reliance on a limited number of suppliers for the components and parts for our products and the geographic concentration among our suppliers increase our supply chain risk. In addition, we do not have long-term binding commitments with any of our suppliers and instead operate on a purchase order basis. Therefore, we have no guarantee that they will continue to supply products or components for us on an ongoing basis. In the event of interruption from any of our suppliers, we may not be able to replace or increase capacity from other sources or develop alternate or secondary sources without incurring material additional costs and substantial delays. Such suppliers also have experienced logistical constraints arising from the COVID-19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suppliers and partners have no obligation to continue to accept purchase orders from us, and we may be unable to get them to accept additional orders or engage an alternate supplier on terms that are acceptable to us, which may undermine our ability to deliver our products to customers in a timely manner. For example, it may take a significant amount of time to identify a supplier that has the capability and resources to build our SaaS products and PaaS platform to our specifications in sufficient volume. Identifying suitable suppliers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or logistics partners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operational and legal risks associated with being based in and having operations in China also to the extent applicable apply to operations in Hong Kong and Macau which operate under different sets of laws from those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China regulatory authority has the right to regulate our operations in accordance with the PRC laws and regulations, which could result in a material change in our operations and/or the value of the securities we are registering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is a holding company and is not a Chinese operating company. As a holding company with no material operations of its own, it conducts all of its operations and operates its business in China through its PRC subsidiaries, in particular, WFOE and its subsidiary, Guangzhou Youxin. Our operations are all located in China, and all of our clients are PRC entities. Because of our corporate structure as a Cayman Islands holding company with operations conducted by our PRC subsidiaries, the China regulatory authority may exercise oversight, and the regulations to which we are subject may change. As a result, the application, interpretation, and enforcement of new and existing laws and regulations in China may be subject to change. In addition, these laws and regulations may be interpreted and applied inconsistently by different agencies or authorities, and inconsistently with our current policies and practices. New laws, regulations, and other government directives in China may require additional costs to comply with, and such compliance or any associated inquiries or investigations or any other government actions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suspend our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negative publicity on our reputation or increase our operating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significant management time and attention;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us to remedies, administrative penalties and even criminal liabilities that may harm our business, including fines assessed for our current or historical operations, or demands or orders that we modify or even cease our business practices.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operations could be materially and adversely affected as well as the value of our Class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oversight and supervision over the Chinese economy in accordance with applicable laws and regulations. Our ability to operate in China is subject to changes in those laws and regulations, including those relating to securities regulation, data protection, cybersecurity and mergers and acquisitions and other matters. The central or local governments of these jurisdictions may impose new, stricter regulations that would require additional expenditures and efforts on our part to ensure our compliance with such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affected, directly or indirectly, by existing or future laws and regulations relating to our business 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continue to offer securities to investors and cause the value of such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Chinese government agencies may exert more oversight and control over offerings that are conducted overseas and in foreign investment in China-based issuers, especially those in the technology field. Additional compliance procedures may be required in connection with this offering under PRC rules, regulations or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or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 Substantial uncertainty remains regarding the scope and applicability of the M&amp;A Rules to offshore 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Trial Administrative Measures and relevant supporting guidelines,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domestic companies under the Trial Administrative Measures and we are therefore subject to the filing requirements for this offering thereunder.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us to fully comply with new regulatory requirements may significantly limit or completely hinder our ability to offer or continue to offer our Class A Shares, cause significant disruption to our business operations, and severely damage our reputation, which would materially and adversely affect our financial condition and results of operations and cause our Class A Shares to significantly decline in value or become worthless. On September 6, 2024, the MOFCOM, and the NDRC promulgated the Special Administrative Measures for Access of Foreign Investment (2024 Edition), or the Negative List (2024). The Negative List (2024) stipulates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However, if the CSRC or other regulatory agencies later promulgate new rules or explanations requiring that we should obtain such approvals for this offering and any follow-on offering, we may be unable to obtain such approvals which could significantly limit or completely hinder our ability to offer or continue to offer securities to our investors. The CSRC or other PRC regulatory agencies may also take actions requiring us, or making it advisable for us, to halt this offering before the settlement and delivery of the Class A Shares that we are offering. Consequently, if you engage in market trading or other activities in anticipation of and prior to the settlement and delivery of the Class A Shares we are offering, you would be doing so at the risk that the settlement and delivery may not occur. Any uncertainties or negative publicity regarding such approval requirements could have a material adverse effect on our ability to complete this offering or any follow-on offering of our securities or the market for and market price of our Class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various government regulations and regulatory interference.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it is uncertain whether or when we might be required to obtain permission from any related PRC government to list our shares on Nasdaq, and even if such permission is obtained, whether it will be later denied or rescinded, which could significantly limit or completely hinder our ability to offer or continue to offer our Class A Shares to investors and cause the value of our Class A Shares to significantly decline or be worthless. If our subsidiary (i) do not receive or maintain such permissions or approvals, should the approval be required in the future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complete the filing with the CSRC in a timely manner, the securities to be offered may substantially decline in value and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Trial Measures and the five supporting guidelines (collectively, the “New Overseas Listing Rules”),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three working days after the relevant application is submitted overseas. If an issuer offers securities in the same overseas market where it has previously offered and listed securities, filings shall be made with the CSRC within three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three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Notice on the Administrative Arrangements for the Filing of the Overseas Securities Offering and Listing by Domestic Companies from the CSRC, or the CSRC Notice, the domestic companies that have already been listed overseas before the effective date of Trial Administrative Measures shall be deemed as the Existing Issuers. Although Existing Issuers are not required to complete the filing procedures immediately, Existing Issuers shall be required to file with the CSRC for any subsequent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did not obtain approval from the SEC for the overseas offering and listing of our Class A Shares on or before March 31, 2023, our PRC counsel advised us that we are required to complete the filing procedures with the CSRC in connection with our initial public offering and listing. We submitted the required filing materials to the CSRC on June 7, 2023. The CSRC accepted the filing application documents and provided its comments on July 11, 2023. We submitted the response to those comments on July 25, 2023. On February 7, 2024, we received from the CSRC a filing notice which indicated that we had completed the required filing application procedures for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Trial Administrative Measures, we, once listed overseas, are required to submit the required filing materials to the CSRC for any follow-on offerings in the same overseas stock market, such as this offering, within three business days upon the completion of such offerings, as long as we continue to fall under the scope of “overseas securities offering and listing by PRC domestic companies,” as explained above. We plan to submit the required filing materials to the CSRC within three business days upon the completion of this offering. The CSRC usually will conclude the filing procedures and publish the filing results on the CSRC website within twenty working days after receiving the filing documents if the filing documents are complete and comply with the stipulated documents. However, during the filing process, the CSRC may request us to comply with additional documents or may consult with competent authorities, the time for which will not be counted in the twenty working days. Any failure on our part to fully comply with new regulatory requirements may significantly limit or completely hinder our ability to offer or continue to offer our Class A Shares, which will cause significant disruption to our business operations, and severely damage our reputation, which would materially and adversely affect our financial condition and results of operations and cause our Class A Shares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ordinary shares to investors and could cause the value of our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to the CSRC’s Trial Administrative Measures and five supporting guidelines, which went into effect on March 31, 2023, and pursuant to Article 16 of the Trial Measures, domestic companies that seek to offer or list securities overseas, both directly and indirectly, shall submit filing materials to the CSRC pursuant to the requirements of the Trial Measures within three working days following its submission of initial public offerings or listing application. Where an issuer offers securities in the same overseas market after overseas initial public offerings or listing, it shall submit filing materials to the CSRC within three working days after completion of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Trial Administrative Measures, we have to file with the CSRC with respect to this offering, and the CSRC will conclude the filing procedures and publish the filing results on the CSRC website within twenty working days after receiving the filing documents, if the filing documents are complete and in compliance with the stipulated requirements. However, during the filing process, the CSRC may request our company to supply additional documents or may consult with competent authorities, the time for which will not be counted in the twenty working days. The required filing materials with the CSRC in relation to the offering include (without limitation): (i) record-filing reports and related undertakings; (ii) PRC legal opinions issued by domestic law firms (with related undertakings). Pursuant to the Trial Administrative Measures, if the issuer meets both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our PRC subsidiary contributed more than 50% of our consolidated revenues, profit, total assets or net assets for each of the fiscal years ended September 30, 2024, September 30, 2023 and September 30, 2022, and our operations are substantially conducted in the PRC, our offering constitutes an indirect offering by domestic companies under the Trial Administrative Measures and we are therefore required to complete the filing procedures with the CSRC in connection with this offering. Any failure or perceived failure of our company to fully comply with the filing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 Also see “RISK FACTORS – </w:t>
      </w:r>
      <w:r>
        <w:rPr>
          <w:rFonts w:ascii="Times New Roman;Times;Serif" w:hAnsi="Times New Roman;Times;Serif"/>
          <w:b w:val="false"/>
          <w:i/>
          <w:caps w:val="false"/>
          <w:smallCaps w:val="false"/>
          <w:sz w:val="20"/>
        </w:rPr>
        <w:t>Risks Related to Doing Business in China – If we are unable to complete the filing with the CSRC in a timely manner, the securities to be offered may substantially decline in value and become worthless”</w:t>
      </w:r>
      <w:r>
        <w:rPr>
          <w:rFonts w:ascii="Times New Roman;Times;Serif" w:hAnsi="Times New Roman;Times;Serif"/>
          <w:b w:val="false"/>
          <w:i w:val="false"/>
          <w:caps w:val="false"/>
          <w:smallCaps w:val="false"/>
          <w:sz w:val="20"/>
        </w:rPr>
        <w:t xml:space="preserve"> for more details as to the risks related to our compliance of the Trial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governing our current business operations are sometimes vague and uncertain and any changes in such laws and regulations may impair our ability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uncertainties regarding the interpretation and application of PRC laws and regulations including, but not limited to, the laws and regulations governing our business and the enforcement and performance of our arrangements with clients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the legal and operational risks associated with being based in and having substantially all operations in Mainland China. The operational and legal risks associated with being based in and having operations in China also to the extent applicable apply to operations in Hong Kong and Macau which operate under different sets of laws from those of Mainland China. These risks may result in material changes in operations, or a complete hindrance of our ability to offer or continue to offer our securities to investors and could cause the value of our securities to significantly decline or become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Cybersecurity Review Measures (2021 version) was issued, which became effective on February 15, 2022. The Anti-Monopoly Law, which took effect in 2008 and was amended on June 24, 2022, which amendment became effective August 1, 2022, established additional procedures and requirements that could make merger and acquisition activities by foreign investors more time consuming and complex. As of the date of this prospectus, the above regulations have not impacted our ability to conduct the business, accept foreign investments, or list on a U.S. or other foreign exchange; however, there are uncertainties in the interpretation and enforcement of these new laws and guidelines, which could materially and adversely impact our overall business and 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exerts substantial influence over the manner in which we must conduct our business activities and may intervene or influence our operations at any time, which could result in a material change in our operations and the value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Our ability to operate in China may be harmed by changes in those laws and regulations, including those relating to securities regulation, data protection, cybersecurity and mergers and acquisitions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actions in the future could significantly affect economic conditions in China or particular regions thereof and could require us to materially change our operating activities or divest ourselves of any interests we hold in Chinese assets. 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CSRC may exert more oversight and control over offerings that are conducted overseas and in foreign investment in China-based issuers, especially those in the technology field. Additional compliance procedures may be required in connection with this offering. As a result, we face uncertainty about future actions by the PRC government that could significantly affect our ability to offer or continue to offer securities to investors and cause the value of our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Since this document is relatively new, uncertainties still exist in relation to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Chinese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Chinese government continues to exert more oversight and control over Chinese technology firms. On July 2, 2021, Chinese cybersecurity regulator announced, that it had begun an investigation of Didi Global Inc. (NYSE: DIDI) and two days later ordered that the company’s application be removed from smartphone application stores. On July 5, 2021, the Chinese cybersecurity regulator launched the same investigation on two other internet platforms, China’s Full Truck Alliance of Full Truck Alliance Co. Ltd. (NYSE: YMM) and BOSS Zhipin of Kanzhun Limited (Nasdaq: BZ).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CSRC and other Chinese government agencies may exert more oversight and control over offerings that are conducted overseas and in foreign investment in China-based issuers, especially those in the technology filed. Additional compliance procedures may be required in connection with this offering and our business operations, and, if required, we cannot predict we will be able to obtain such approval. As a result, we face uncertainty about future actions by the PRC government that could significantly affect our ability to offer or continue to offer securities to investors and cause the value of our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PRC laws relating to the collection, use, sharing, retention, security, and transfer of confidential and private information, such as personal information and other data. These laws continue to develop, and the PRC government may adopt other rules and restrictions in the future. Non-compliance could result in penalties or other significant legal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Law, which was adopted by the National People’s Congress on November 7, 2016 and came into force on June 1, 2017, and the Cybersecurity Review Measures (2020 Version), which were promulgated on April 13, 2020, provide that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should be subject to cybersecurity review by the CAC. In addition, a cybersecurity review is required where critical information infrastructure operators, or the “CIIOs,” purchase network-related products and services that affect or may affect national security.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controlling personal information of more than 1 million users which seeks to list in a foreign stock exchange should apply for a cybersecurity review.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And on September 24, 2024, the State Council published the Network Data Security Administrative Regulations which became effect on January 1, 2025. The Network Data Security Administrative Regulations provides that network data processing operators engaging in network data processing activities that affect or may affect national security must be subject to the cybersecurity review in accordance with applicable national laws. According to the Cybersecurity Review Measures (2021 Version), a cybersecurity review is conducted by the CAC, to assess potential national security risks that may be brought about by any procurement, data processing, or overseas listing. The state establishes a data classification protection system.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further require that online platform operators that possess personal data of at least one (1) million users must apply for a cybersecurity review if they plan to conduct listings in foreign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Cybersecurity Review Measures (2021 Version) and the Network Data Security Administrative Regulations were recently adopted, and their implementation provisions and anticipated adoption or effective date remains are not issued yet. Due to the lack of further interpretations, the exact scope of what constitutes a “CIIO,” “online platform operators,” “data processors,” or “data handlers” will be determined according to the then applicable laws and regulations. Further, any future regulatory changes would impose additional requirements on companies like us. We do not believe our business and activities would affect or may affect national security or we are among the “operators of critical information infrastructure” as mentioned above. However, as of the date of this prospectus, we have not received any notice from any authorities identifying us as a CIIO or an online platform operator or requiring it to undertake a cybersecurity review by the CAC. Further, we have not been subject to any penalties, fines, suspensions, investigations from any competent authorities for violation of the regulations or policies that have been issued by the CAC to date. As the interpretation or implementation of those rules and whether the PRC regulatory agencies, including the CAC, may adopt new laws, regulations, rules, or detailed implementation and interpretation related to the Cybersecurity Review Measures (2021 Version) and Network Data Security Administrative Regulations,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our operations. We may be required to suspend new user registration in China or experience other disruptions to our operations should it be required to have a cybersecurity review by the CAC. Any cybersecurity review could also result in negative publicity with respect to us and diversion of our managerial and financial resources. There is no certainty as to how such review or prescribed actions would impact our operations and we cannot guarantee that any clearance can be obtained or any actions that may be required for our listing on the Nasdaq Capital Market and the offering as well can be taken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requirements with respect to cybersecurity and data privacy are constantly evolving and can be subject to varying interpretations, and significant changes, resulting in uncertainties about the scope of our responsibilities in that regard. Failure to comply with the cybersecurity and data privacy requirements in a timely manner, or at all, may subject us to government enforcement actions and investigations, fines, penalties, suspension or disruption of our operations, among other things.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policy pronouncements by the PRC government regarding business activities of U.S.-listed PRC businesses may negatively impact our Hong Kong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the NPC promulgated the Law of the PRC on Safeguarding National Security in Hong Kong. The interpretation of the Law of the PRC on Safeguarding National Security in Hong Kong involves a degree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PRC government’s significant oversight over the conduct of business operations in Mainland China and in Hong Kong, and in light of the PRC government’s recent extension of authority not only in Mainland China but into Hong Kong, there are risks and uncertainties which we cannot foresee for the time being, and rules and regulations in the PRC can change quickly with little or no advance notice. For example, the government of Hong Kong may enact similar laws and regulations to those in Mainland China, which may seek to exert control over offerings conducted overseas by Hong Kong companies. If any or all of the foregoing were to occur, it could affect our operations and limit or hinder our ability to offer securities to overseas investors or remain listed in the U.S., which could cause the value of the securities we are registering for sale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and enforcement of stricter labor laws and regulations in China may adversely affect our business and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overall economy and the average wage have increased in recent years and are expected to continue to grow. The average wage level for our employees has also increased in recent years. We expect that our labor costs, including wages and employee benefits, will continue to increase. Unless we can pass on these increased labor costs to those who pay for our services, our profitability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been subject to stricter regulatory requirements in terms of entering into labor contracts with employees and paying various statutory employee benefits, including pensions insurance, housing provident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addition, enterprises are forbidden to force laborers to work beyond the time limit and employers shall pay laborers for overtime work in accordance with the laws and regulations.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comply with all labor-related law and regulations, including those relating to obligations to make social insurance payments, to contribute to the housing provident fund, and to make overtime payment and other similar payment payable by us to our employees. If it is deemed to have violated relevant labor laws and regulations, we could be required to provide additional compensation to employees and be subject to orders by competent labor authorities for rectification, and failure to comply with the orders may further subject us to administrative fines. In such an event, our business, financial condition and results of operations will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the potential obligations if we fail to comply with social insurance and housing provident fund related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core business in PRC, and 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SCNPC promulgated the Social Insurance Law of PRC, effective on July 1, 2011 and amended it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thirty (30) days of their establishment and to pay for their employees different social insurance including pension insurance, medical insurance, work-related injury insurance, unemployment insurance and maternity insurance to the extent required by law. According to the PRC Social Insurance Law, if a person or entity obtains social insurance benefits through fraud, falsification of documents, or other means, the social insurance administrative department must order the fraudulent social insurance benefits to be returned and impose a fine equal to or less than five times the fraudulent amount. We could be subject to orders by competent labor authorities for rectification if we fail to comply with such social insurance and housing provident fund related laws and regulations, and failure to comply with the orders may further subject us to administrative fines. The relevant government agencies may examine whether an employer has made adequate payments of the requisite statutory employee benefits, and employers who fail to make adequate payments may be subject to late payment fees, fines and/or other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make contributions in full for the social insurance fund and housing provident fund for our employees as required under the relevant PRC laws and regulations. We also make contributions for the social insurance fund and housing provident fund for persons who are not our employees. Although we have not received any order or notice from the local authorities nor any claims or complaints from our current and former employees regarding any non-compliance in this regard, we cannot assure that we will not be subject to any order to rectify non-compliance in the future, nor can we assure that there are no, or will not be any, employee complaints regarding social insurance payment or housing provident fund contributions against us, or that we will not receive any claims in respect of social insurance payment or housing provident fund contributions under the PRC laws and regulation. In addition, we may incur additional costs to comply with such laws and regulations by the PRC Government or relevant local authorities. Any such development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the potential obligations if we fail to comply with PRC laws and regulations relating to compensations for laid-off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Labor Contract Law (the “PRC Labor Contract Law”) which was promulgated by the Standing Committee of the National People’s Congress on June 29, 2007, with the latest amendment taking effect on July 1, 2013, when an employer terminates the labor contract with an employee through negotiations, the employer shall pay to the employee compensations based on the number of years the employee has worked for the employer. If an employer fails to pay, the labor administrative department may order the employer to pay to the employee the statutorily required compensations within a time limit; if payment is not made within the time limit, the employer may be ordered to pay an extra compensation to the employee at a rate of not less than 50 percent and not more than 100 percent of the payable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did not make compensations for certain laid-off employees to the extent as required by the PRC Labor Contract Law and other applicable laws and regulations. Therefore, we may be ordered by the competent authority to pay to the laid-off employees the statutorily required compensations within a time limit; if payment is not made within the time limit, we may be ordered to pay an extra compensation to the laid-off employees at a rate of not less than 50 percent and not more than 100 percent of the payable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keep the net log for the length of period as required under applicable PRC laws may expose us to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Law provides that network operators shall, according to the requirements of the rules for graded protection of cybersecurity, take technical measures to monitor and record the status of network operation and cybersecurity incidents, and preserve relevant net logs for not less than six months, failing which the competent department may order it to take corrective action and give it a warning. If the operator refuses to take corrective action, or such consequences as endangering cybersecurity are caused, the operator may be subject to fines not less than RMB10,000 but not more than RMB100,000, and its directly responsible person in charge may be imposed on fines not less than RMB5,000 but not more than RMB50,000.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keep the net log for at least a period of six months as required by the Cybersecurity Law, and therefore we may be subject to orders by competent authority to take corrective actions, and fines not less than RMB10,000 but not more than RMB100,000, and our directly responsible person in charge may be imposed on fines not less than RMB5,000 but not more than RMB50,000.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Failing to register lease agreements with the relevant PRC government authorities as required by PRC law may expose us to potential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two of our lease agreements for our leased buildings in China are not registered with the relevant PRC government authorities 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We cannot guarantee, however, all leases will be registered timely by the lessors in the future. In the event that any fine is imposed on us for our failure to register our lease agreements, we may not be able to recover such losses from the lessors.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rights to use our leased properties could be challenged by property owners or other third parties, which may disrupt our operations and incur relocation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risk that our use of the leased properties is inconsistent with the designated purpose of the property use, for example a leased property might be leased to use for office space only but not for any other purposes, in which case we may not be able to continue to use the leased properties. Besides, the lessor may not have entitlement to lease the properties to us. The above risks might interrupt our business operations. Moreover, if our lease agreements are challenged by third parties, it could result in diversion of management attention and cause us to incur costs associated with defending such actions, even if such challenges are ultimately determined in our favor.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registered offices of certain PRC Entities are not used as the principal place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registered offices of certain PRC Entities are not used as the principal place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Regulation of the People’s Republic of China on the Administration of the Registration of Market Entities, in the event of any changes in the registered information, an entity shall apply to the registration authority for registration within 30 days after the resolution or decision in relation to such changes is made or the changes occur, failing which the competent authority may order the entity to rectify, impose a fine of not less than RMB10,000 but not exceeding RMB100,000 if the entity refuses to rectify and revoke its business license under severe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failure to register its principal place of business as the registered address exposes certain PRC Entities to risks of order by the competent authority to make corrections and fines if it refuses to obey.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liabilities under the Foreign Corrupt Practices Act and Chinese anti-corruption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We have operations, agreements with third parties, and provide services in Mainland China, which may experience corruption. Our activities in Mainland China create the risk of unauthorized payments or offers of payments by one of the employees or the consultants, because these parties are not always subject to our control. We are in the process of implementing an anticorruption program, which prohibits the offering or giving of anything of value to foreign officials, directly or indirectly, for the purpose of obtaining or retaining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safeguards and any future improvements may prove to be less than effective, and the employees or the consultants may engage in conduct for which we might be held responsible. Violations of the FCPA or Chinese anti-corruption laws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business operations are conducted in China. Accordingly, our business, results of operations, financial condition and prospects are subject to economic, political and legal developments in China. The PRC government exercises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30 years. In response to the recent global and Chinese economic downturn, the PRC government has adopted policy measures aimed at stimulating the economic growth in China. If the PRC government’s current or future policies fail to help the Chinese economy achieve further growth or if any aspect of the PRC government’s policies limits the growth of our industry or otherwise negatively affects our business, the growth rate or strategy, our results of operations could be adversely affected as a result.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 of loans to and direct investment in PRC entities by offshore holding companies and governmental control of currency conversion may delay or prevent us from using the proceeds of this offering to make loans or additional capital contributions to our subsidiaries, which could materially and adversely affect our liquidity and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conducting our operations in Mainland China through our subsidiaries. We may make loans to the subsidiaries subject to the approval from or registration with governmental authorities and limitation on amount, we may make additional capital contributions to the subsidiaries, we may establish new PRC subsidiaries and make capital contributions to these new PRC subsidiaries, or we may acquire offshore entities with business operations in Mainland China in an offshore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aforementioned ways of making loans or investments in PRC entities are subject to PRC regulations, registrations, submission or approvals. For example, any loans to the subsidiaries and WFOE are subject to applicable foreign loan registrations with the local counterpart of the State Administration of Foreign Exchange (“SAFE”) and limitation on amount under PRC law. If we decide to finance our subsidiaries and WFOE by means of capital contributions, these capital contributions are subject to submission of information to and registration with certain PRC government authorities, including MOFCOM or its local counterparts and the State Administration of Market Regulation (“SAMR”) through its Enterprise Registration System, the National Enterprise Credit Information Publicity System and the local counterpart of SAFE. In addition, an FIE shall use its capital pursuant to the principle of authenticity and self-use in accordance within its business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Notice of the State Administration of Foreign Exchange on Reforming the Mode of Management of Settlement of Foreign Exchange Capital of Foreign Invested Enterprises, or SAFE Circular 19, effective June 2015 and amended in December 2019, in replacement of a former regulation. According to SAFE Circular 19, the flow and use of the RMB capital converted from foreign currency-denominated registered capital of a foreign-invested company is regulated such that RMB capital may not be used for the issuance of RMB entrusted loans (unless otherwise permitted in the business license),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our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Specifically, SAFE Circular 16 provides that the capital of an FIE shall not be used for the following purposes: (i) directly or indirectly used for payment beyond the business scope of such FIE or the payment prohibited by relevant laws and regulations; (ii) directly or indirectly used for investment in securities or investments in financial management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 Violations of SAFE Circular 19 and SAFE Circular 16 could result in administrative penalties. SAFE Circular 19 and SAFE Circular 16 may significantly limit our ability to transfer any foreign currency we hold, including the net proceeds from this offering, to our subsidiaries, which may adversely affect our liquidity and our ability to fund and expand our business in Mainland China. On October 23, 2019, the SAFE promulgated the Notice of the State Administration of Foreign Exchange on Further Promoting the Convenience of Cross-border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or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since the SAFE Circular 28 and SAFE Circular 8 are relatively new, it is unclear how SAFE and competent banks will carry them out in practice.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regulations on loans to and direct investment in PRC entities by offshore holding companies, we cannot assure you that we will be able to complete the necessary government registrations, submission or obtain the necessary government approvals on a timely basis, or at all, with respect to future loans by us to WFOE or our subsidiaries or with respect to future capital contributions by us to WFOE or our subsidiaries If we fail to complete such registrations, submission or obtain such approvals, our ability to use the proceeds from our public offering and to capitalize or otherwise fund our PRC operations may be negatively affected,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we rely on funding on dividend payments from WFOE and Guangzhou Youxin, which are subject to restrictions under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we operate our core businesses only through our subsidiary in the PRC. Therefore, the availability of funds for us to pay dividends to our shareholders and to service our indebtedness depends upon dividends received from the PRC subsidiary. If the PRC subsidiary incurs debt or losses, their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generally accepted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subsidiaries may enter into in the future may also restrict the ability of our subsidiaries to pay dividends to us. These restrictions on the availability of our funding may impact our ability to pay dividends to our shareholders and to service our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if our PRC Subsidiary declares bankruptcy or becomes subject to a dissolution or liquidation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subsidiary holds certain assets that are important to our business operations. If any of the PRC subsidiary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SAFE’s Notice of the State Administration of Foreign Exchange on Further Improving and Adjusting Foreign Exchange Administration Policies for Direct Investment, effective on December 17, 2012, and lastly amended in 2019, and the Provisions for Administration of Foreign Exchange Relating to Inbound Direct Investment by Foreign Investors, effective on May 13, 2013 and lastly amended in 2019, if our PRC Subsidiary undergoes a voluntary or involuntary liquidation proceeding, prior approval from the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in the business is in the PRC and Hong Kong or a PRC or Hong Kong entity, the funds may not be available to fund operations or for other use outside of the PRC/Hong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is generated in our PRC subsidiary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funds or assets by the PRC government. If certain PRC laws and regulations, including existing laws and regulations and those enacted or promulgated in the future were to become applicable to our Hong Kong subsidiary in the future, any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our ability to transfer or distribute cash, which could result in an inability or prohibition on making transfers or distributions to entities outside of Mainland China and Hong Kong and adversely affect our business. Saved as the foregoing limitations imposed by the PRC government as described hereto, there are currently no limitations on our or our subsidiaries’ ability to transfer cash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adversely affect our business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ordinary shares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largely all of our revenue and expenses are denominated in RMB, fluctuations in exchange rates may nonetheless in the future adversely affect the value of our net assets and earnings. In particular, proceeds from the offering are made in U.S. dollars. Any unfavorable movement in the exchange rate of RMB against the U.S. dollar may adversely affect the value of our proceeds from the offering. In addition, any unfavorable movement in the exchange rate of RMB against other foreign currencies may also lead to an increase in our costs,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process or enforcing foreign judgments against us, our respective executive officers and directors residing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in China and all of our directors and senior management reside in China. Therefore, it may not be possible to effect service of process or elsewhere outside of China upon us, our respective directors or senior management. Moreover, China has not entered into treaties for the reciprocal recognition and enforcement of court judgments with Japan, the United Kingdom, the United States and many other countries. As a result, recognition and enforcement in China of a court judgment obtained in other jurisdictions may be difficult or impossible.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under the PRC laws relating to the procedures and time requirement for the U.S. regulators to bring about investigations and evidence collection within the territory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2019, the newly amended Securities Law of the PRC (the “PRC Securities Law”) was officially promulgated, which became effective on March 1, 2020. According to Article 177 of the PRC Securities Law (the “Article 177”), the securities regulatory authority of the State Council may establish a regulatory cooperation mechanism with the securities regulatory authorities of another country or region to implement cross-border supervision and administration. Article 177 further provides that the overseas securities regulatory authorities may not carry out investigations and evidence collection directly within the territory of the PRC, and that no Chinese entity or individual is allowed to provide any documents or materials related to securities business activities to overseas agencies without prior consent of the securities regulatory authority of the State Council and the competent departments of the State Council. Moreover, the Civil Procedure Law of the PRC, promulgated in 1991 and last amended in 2017, provides that except for the request for and provision of judicial assistance in accordance with international treaties concluded or participated by the PRC, or via diplomatic channels, no foreign agency or individual may, without the consent of the competent authorities of the PRC, carry out investigation or collect evidence within the territory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understanding that (i) the Article 177 is applicable in the circumstances related to direct investigation or evidence collection conducted by overseas authorities within the territory of the PRC (in such case, the foregoing activities are required to be conducted through collaboration with or by obtaining prior consent of competent PRC authorities) and (ii) as of the date of this prospectus, we are not aware of any implementing rules or regulations which have been published regarding application of the Article 177.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business operation is conducted in the PRC. In the event that the U.S. regulators carry out investigation on us and there is a need to conduct investigation or collect evidence within the territory of the PRC, the U.S. regulators may not be able to carry out the investigation or evidence collection directly in the PRC under the PRC laws. The U.S. regulators may consider cross-border cooperation with securities regulatory authority of the PRC by way of judicial assistance, diplomatic channels or regulatory cooperation mechanism established with the securities regulatory authority of the PRC. However, there is no assurance that the U.S. regulators could succeed in establishing such cross-border cooperation in a specific case or could establish the cooperation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the Article 177 is relatively new and there is no implementing rules or regulations which have been published regarding application of the Article 177, it remains unclear how the law will be interpreted, implemented or applied by the CSRC or other relevant government authorities. As such, there are uncertainties as to the procedures and time requirement for the U.S. regulators to bring about investigations and evidence collection within the territory of the PRC. If U.S. regulators are unable to conduct such investigations, such U.S. regulators may determine to suspend and ultimately delist our ordinary shares from The Nasdaq Capital Market or choose to suspend or de-register our SEC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 listed Chinese companies, we may have to expend significant resources to investigate and resolve the matter which could harm our business operations, this offering and our reputation and could result in a loss of your investment in our shares, especially if such matter cannot be addressed and resolved 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have been the subject of intense scrutiny, criticism and negative publicity by investors, financial commentators and regulatory agencies, such as the U.S. Securities and Exchange Commission (“SEC”). Much of the scrutiny, criticism and negative publicity has centered around financial and accounting irregularities, a lack of effective internal controls over financial accounting, inadequate corporate governance policies or a lack of adherence thereto and, in some cases, allegations of fraud. As a result of the scrutiny, criticism and negative publicity, the publicly traded stock of many U.S.-listed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this offering. If we become the subject of any unfavorable allegations, whether such allegations are proven to be true or untrue, we will have to expend significant resources to investigate such allegations and/or defend our company. This situation may be a major distraction to our management. If such allegations are not proven to be groundless, our company and our business operations will be severely hampered and your investment in our shares could be rendered worthless.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promulgated the Notice on Relevant Issues Relating to Domestic Resident’s Investment and Financing and Roundtrip Investment through Special Purpose Vehicles, or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material change of capitalization or structure of the PRC resident itself (such as capital increase, capital reduction, share transfer or exchange, merger or spin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requested PRC residents whom we know hold direct or indirect interests in our company to make the necessary applications, filings and amendments as required under Circular 37 and other related rules. However, we cannot assure you that the registration will be duly and timely completed with the local SAFE branch or qualified banks. In addition, we may not be informed of the identities of all of the PRC residents holding direct or indirect interests in our company.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or affect our ownership structure, which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Circular 37, our ability to conduct foreign exchange activities in the PRC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PRC individuals who fail to make such registrations may be subject to warnings, fines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fully informed of the identities of all our beneficial owners who are PRC residents. For example, because the investment in or trading of our shares will happen in an overseas public or secondary market where shares are often held with brokers in brokerage accounts, it is unlikely that we will know the identity of all of our beneficial owners who are PRC residents. Furthermore, we have no control over any of our future beneficial owners and we cannot assure you that such PRC residents will be able to complete the necessary approval and registration procedures required by the Individual Foreign Exchange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uncertain how the Individual Foreign Exchange Rules will be interpreted or enforced and whether such interpretation or enforcement will affect our ability to conduct foreign exchange transactions. Because of this uncertainty, we cannot be sure whether the failure by any of our PRC resident shareholders to make the required registration will subject our PRC subsidiary to fines or legal sanctions on their operations, delay or restriction on repatriation of proceeds of this offering into the PRC, restriction on remittance of dividends or other punitive actions that would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subsidiaries were to lose their favorable tax treatments, we could face higher tax rates than we currently pay for much of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Enterprise Income Tax Law (“EIT Law”), which became effective on January 1, 2008, and was last amended on December 29, 2018, generally applies a uniform enterprise income tax (“EIT”) rate of 25% to both foreign-invested enterprises (“FIEs”) and domestic enterprises. Certified High and New Technology Enterprises (“HNTE”) are entitled to a favorable statutory tax rate of 15%, but need to re-apply every three years. During this three-year period, if a competent authority finds that an HNTE does not meet the HNTE criteria, the enterprise cannot continue to enjoy the 15% preferential tax rate, and must instead use the regular 25% EIT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Guangzhou Youxin was approved as an HNTE (High and New Technology Enterprise) on December 20, 2021, Guangzhou Youxin was entitled to a reduced income tax rate of 15% from 2021 to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Guangzhou Youxin failed to obtain the renewed HNTE certificate in 2024, Guangzhou Youxin will no longer be recognized as HNTE after December 20, 2024 and thus it is subject to the income tax rate of 25% from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the requisite licenses and approvals required under the complex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2021, Guangzhou Youxin obtained “Information Security Management System Certification”, which proves that the company’s information security management system has passed the evaluation of NOA Certification and complies with GB/T 22080-2016/ISO/IEC 27001:2013 standard, and the scope of certification is “information security management activities related to the development and maintenance of computer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2021, the Guangzhou Municipal Public Security Bureau issued the “Information System Security Level Protection Record Certificate” (No. 4401061303900001) to us, which was filed for the third level of Youxin Cloud System of Youxin Technology. This certification is made by the Public Security Authority that recognizes and assesses the information system security level protection status of each institution, in accordance with the national information security protection regulations and relevant systems, and the management norms and technical standards. What Guangzhou Youxin obtained is referred to as “Level 3 Equal protection”, which is the highest level of information protection certification for non-banking organizations in China. The Guangzhou Municipal Public Security Bureau conducts on-site inspection of Guangzhou Youxin annually. Guangzhou Youxin passed the annual inspection in May 2024. If Guangzhou Youxin fails the inspection, it will not affect its regular operations; However, it may affect the customer’s confidence in the information security of Youxin 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relevant authorities’ interpretation of these laws and regulations. If we fail to complete, obtain or maintain any of the required licenses or approvals or make the necessary filings, we may be subject to various penalties, such as confiscation of the revenue that were generated through the unlicensed internet activities, the imposition of fines and the discontinuation or restriction of our operations. Any such penalties may disrupt our business operations and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deemed a PRC resident enterprise for PRC Enterprise Income Tax (“EIT”) purposes under the EIT Law and be subject to PRC taxation on our global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which came into effect on January 1, 2008 and was most recently amended on December 29, 2018, an enterprise established outside of China whose “de facto management body” is located in China is considered a “PRC resident enterprise” and will generally be subject to the uniform enterprise income tax rate, or EIT rate, of 25% on our global income. The regulation on the Implementation of the Enterprise Income Tax Law of the PRC defines “de facto management body” as the organization body that effectively exercises management and control over aspects such as the business operations, personnel, accounting and properties of the enterprise.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2009, the State Taxation Administration (“STA” and previously known as the State Administration on Taxation or “SAT”) released the Notice Regarding the Determination of Chinese Controlled Offshore Incorporated Enterprises as PRC Tax Resident Enterprises on the Basis of De Facto Management Bodies (“Circular 82”), as lastly amended on December 29, 2017, which sets out the standards and procedures for determining whether the “de facto management body” of an enterprise registered outside of China and controlled by PRC enterprises or PRC enterprise groups is located within China. Under Circular 82, a foreign enterprise controlled by a PRC enterprise or PRC enterprise group is considered a PRC resident enterprise if all of the following apply: (i) the senior management and core management departments in charge of daily operations are located mainly within China; (ii) financial and human resources decisions are subject to determination or approval by persons or bodies in China; (iii) major assets, accounting books, company seals and minutes and files of board and shareholders’ meetings are located or kept within China; and (iv) at least half of the enterprise’s directors with voting rights or senior management reside within China. Further to Circular 82, the SAT issued Chinese-Controlled Offshore Incorporated Resident Enterprises Income Tax Regulation (“Bulletin 45”), which took effect on September 1, 2011 and lastly amended on June 15, 2018, to provide more guidance on the implementation of Circular 82 and clarify the reporting and filing obligations of such “Chinese-controlled offshore incorporated resident enterprises.” Bulletin 45 provides procedures and administrative details for the determination of resident status and administration of post-determination matters. Although Circular 82 and Bulletin 45 explicitly provide that the above standards apply to enterprises which are registered outside of China and controlled by PRC enterprises or PRC enterprise groups, Circular 82 may reflect SAT’s criteria for determining the tax residence of foreign enterprises in general. If our global income were to be taxed under the EIT Law, our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PRC income tax on dividends from us or on any gain realized on the sale or other disposition of our shares under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subject to any applicable tax treaty or similar arrangement between China and your jurisdiction of residence that provides for a different income tax arrangement, PRC withholding tax at the rate of 10% is normally applicable to dividends from sources within China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 PRC income tax if such gain is regarded as income derived from sources within China unless a treaty or similar arrangement otherwise provides. Under the PRC Individual Income Tax Law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substantially all of our business operations are in China, it is unclear whether dividends we pay with respect to our shares, or the gain realized from the transfer of our shares, would be treated as income derived from sources within China and as a result be subject to PRC income tax if we are considered a PRC resident enterprise. If PRC income tax is imposed on gains realized from the transfer of our Shares or on dividends paid to our non-PRC resident investors, the value of our investors’ investment in our Shares may be materially and adversely affected. Furthermore, our shareholders whose jurisdictions of residence have tax treaties or arrangements with China may not qualify for benefits under such tax treaties or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scrutiny over acquisition transactions by the PRC tax authorities may have a negative impact on our business operations, our acquisition or restructuring strategy or the value of your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Strengthening Administration of Enterprise Income Tax for Share Transfers by Non-PRC Resident Enterprises (“SAT Circular 698”) issued by the SAT in December 2009 with retroactive effect from January 1, 2008, where a nonresident enterprise transfers the equity interests of a PRC resident enterprise indirectly by disposition of the equity interests of an overseas non-public holding company (an “Indirect Transfer”), and such overseas holding company is located in a tax jurisdiction that (i) has an effective tax rate of less than 12.5% or (ii) does not impose income tax on foreign income of its residents, the non-resident enterprise, being the transferor, must report to the competent tax authority of the PRC resident enterprise this Indirect Transfer. Using a “substance over form” principle, the PRC tax authority may disregard the existence of the overseas holding company if it lacks a reasonable commercial purpose and was established for the purpose of reducing, avoiding or deferring PRC tax.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2011, the SAT released the SAT Public Notice (2011) No. 24 (“SAT Public Notice 24”), which became effective on April 1, 2011, to clarify several issues related to Circular 698. According to SAT Public Notice 24, the term “effective tax” refers to the effective tax on the gain derived from disposition of the equity interests of an overseas holding company; and the term “does not impose income tax” refers to the cases where the gain derived from disposition of the equity interests of an overseas holding company is not subject to income tax in the jurisdiction where the overseas holding company is a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(“SAT Circular 7”), which abolished certain provisions in SAT Circular 698, as well as certain other rules providing clarification on SAT Circular 698. SAT Circular 7 provided comprehensive guidelines relating to, and also heightened the PRC tax authorities’ scrutiny over, indirect transfers by a nonresident enterprise of PRC taxable assets. Under SAT Circular 7, the PRC tax authorities are entitled to reclassify the nature of an indirect transfer of PRC taxable assets, when a non-resident enterprise transfers PRC taxable assets indirectly by disposing of equity interests in an overseas holding company directly or indirectly holding such PRC taxable assets, by disregarding the existence of such overseas holding company and considering the transaction to be a direct transfer of PRC enterprise income taxes and without any other reasonable commercial purpose. However, SAT Circular 7 contains certain exemptions, including (i) where a non-resident enterprise derives income from the indirect transfer of PRC taxable assets by acquiring and selling shares of an overseas listed holding company which holds such PRC taxable assets on a public market; and (ii) where there is an indirect transfer of PRC taxable assets, but if the non-resident enterprise had directly held and disposed of such PRC taxable assets, the income from the transfer would have been exempted from enterprise income tax in the PRC under an applicable tax treaty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STA promulgated the Announcement on Matters Concerning Withholding and Payment of Income Tax of Non-resident Enterprises from Source (the “STA Circular 37”), which came into force and replaced the STA Circular 698 and certain other regulations on December 1, 2017 and partly amended on June 15, 2018. The STA Circular 37 does, among other things, simplify procedures of withholding and payment of income tax levied on non-resident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and may conduct acquisitions involving changes in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obtain and maintain permits and licenses to operate certain of our business operations under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Telecommunications operators in China are subject to regulation by, and under the supervision of, the MIIT, the primary regulator of the telecommunications industry in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Telecommunications Regulations, that apply in the interim period prior to the adoption of the telecommunications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Catalog of Telecommunications Business of the PRC, or the Catalog, most recently amended in June 2019, providers of internet data center (IDC) services, including “internet-based resource collaboration” (IRC) services, are required to obtain an IDC license. IRC services are defined quite broadly under the Catalog to include the provision “in a shared, collaborative manner” of “data storage, application deployment and other internet-based services that are readily accessible and easily modifiable on an on-demand basis.” Under the current PRC laws and regulations, we believe that Guangzhou Youxin may not be deemed as the provider of IDC services and is not required to obtain an IDC license. We cannot guarantee, however, the additional changes or restrict won’t be imposed by the government for Guangzhou Youxin.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governing the internet industry and related businesses in China are evolving and may involve significant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extensively regulates the internet industry, including the foreign ownership of, and the licensing and permit requirements pertaining to companies in the internet industry. These internet-related laws and regulations are relatively new and evolving, and their interpretation and enforcement involve significant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PRC regulation of internet businesses include new laws, regulations or policies that may be promulgated or announced to regulate internet activities, including PaaS cloud service businesses. If these new laws, regulations or policies are promulgated, additional licenses may be required for our operations. If our operations do not comply with these new regulations after they become effective, or if we fail to obtain any licenses required under these new laws and regulations, we could be subject to penalties and our business operations could be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uncertainties relating to the regulation of the internet industry in China, including evolving licensing requirements. This means that our permits licenses or operations may be subject to challenge, or we may fail to obtain or renew permits or licenses that applicable regulators may deem necessary for our operations. If we fail to maintain or obtain the required permits or licenses, we may be subject to various penalties, including fines and discontinuation of, or restriction on our operations. Any penalty may disrupt our business operations and may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application of existing or future PRC laws, regulations and policies relating to the internet industry have created substantial uncertainties regarding the legality of existing and future foreign investments in and the businesses and activities of internet businesses in China, including our PaaS cloud business. We cannot assure you that we will be able to maintain our existing licenses or obtain any new licenses required under any existing or new laws or regulations given the uncertainty and complexity of China’s regulation of internet businesses. There are also risks that we may be found to be in violation of existing or future laws and regulations. If current or future laws, rules or regulations regarding internet-related activities are interpreted in such a way as to render our ownership structure and/or business operations illegal or non-compliant, our business could be severely impaired and we could be subject to severe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rely on dividends paid by WFOE for our cash needs, any limitation on the ability of WFOE to pay dividends to us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conduct all of our business through Guangzhou Youxin, but we may conduct business in Mainland China through WFOE in the future. Although we do not currently intend to pay dividends, we may rely on the dividends received from WFOE to pay dividends to our shareholders in the future. Currently, PRC regulations permit the payment of dividends only out of distributable profits determined in accordance with the accounting standards and regulations in China, which differ in many aspects from generally accepted accounting principles in other jurisdictions. WFOE is required to allocate certain percentages of any accumulated profits after tax each year to their statutory common reserve fund as required under the PRC Company Law, until the aggregate accumulated statutory common reserve funds exceed 50% of our registered capital. These reserve funds cannot be distributed as cash dividends. In addition, if WFOE incurs debt on its own or enters into certain agreements in the future, the instruments governing the debt or such other agreements may restrict our ability to pay dividends or make other distributions to us. Therefore, these restrictions on the availability and usage of our major source of funding may materially and adversely affect our ability to pay dividends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government’s control over currency conversion may limit our foreign exchange transactions, including dividend payments on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RMB is not presently a freely convertible currency, and current conversion and remittance of foreign currencies are subject to PRC foreign exchange regulations. There is no assurance that, under a certain exchange rate, we will have sufficient foreign currencies to meet our foreign exchange requirements. Under the current PRC foreign exchange control system, foreign exchange transactions under the current account conducted by us, including the payment of dividends following completion of the public offering, do not require prior approval from the SAFE, but we are required to present documentary evidence of such transactions and conduct such transactions at designated foreign exchange banks within China that have the requisite licenses to carry out foreign exchange business. Foreign exchange transactions under the capital account conducted by us, however, must be approved or subject to registration in advance by the SAFE, its branches, or competent banks. There is no assurance that we will be able to receive these approvals or complete the registration in time, or at all. This could restrict the ability of our PRC subsidiary to obtain debt or equity financing in foreign currencies.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foreign regulations allow WFOE, following completion of this offering, to pay dividends in foreign currencies without prior approval from the SAFE by complying with certain procedural requirements. However, there is no assurance that the PRC Government will continue to adopt this policy going forward. The PRC government may also restrict our access to foreign currencies for current account transactions at our discretion. Any insufficiency of foreign currencies may impair WFOE’s ability to obtain sufficient foreign currencies for dividend payments to us or to satisfy any other foreign exchange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establish more complex procedures for some acquisitions of PRC companies by foreign investors, which could make it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PRC laws and regulations, including the M&amp;A Rules, the Anti-Monopoly Law, and the Rules of Ministry of Commerce on Implementation of Security Review System of Mergers and Acquisitions of Domestic Enterprises by Foreign Investors promulgated by MOFCOM on August 25, 2011 and effective from September 1, 2011 (“Security Review Rules”), have established procedures and requirements that are expected to make the review of certain merger and acquisition activities by foreign investors in China more time consuming and complex. These include requirements in some instances to notify MOFCOM in advance of any transaction in which foreign investors take control of a PRC domestic enterprise, or to obtain approval from MOFCOM before overseas companies established or controlled by PRC enterprises or residents acquire affiliated domestic companies. PRC laws and regulations also require certain merger and acquisition transactions to be subject to merger control or security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future audit reports will be prepared by auditors able to be inspected or 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 of companies that are registered with the Securities and Exchange Commission (the “SEC”) and traded publicly in the United States, including our independent registered public accounting firm, must be registered with the PCAOB, and are subject to laws in the United States pursuant to which the PCAOB conducts regular inspections to assess their compliance with the relevant professional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Holding Foreign Companies Accountable Act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over-the-counter trading market in the U.S. On December 2, 2020, the U.S. House of Representatives approved the Holding Foreign Companies Accountable Act. On December 18, 2020, the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Accelerating Holding Foreign Companies Accountable Act (“AHFCAA”), and the U.S. House of Representatives introduced the AHFCAA on December 14, 2021 and referred to the House Committee on Financial Services. The AHFCAA was enacted on December 29, 2022 and reduced the number of consecutive non-inspection years required for triggering the prohibitions under the HFCA Act from three years to two and, thus, would reduce the time before our securities may be prohibited from trading or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issued amendments to finalize rules implementing the submission and disclosure requirements in the Holding Foreign Companies Accountable Act.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SEC announced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has secured complete access to inspect and investigate registered public accounting firms headquartered in mainland China and Hong Kong and voted to vacate the previous 2021 determination report to the contrary. Notwithstanding the foregoing, in the future, if there is any regulatory change or step taken by PRC regulators that does not permit our auditor to provide audit documentations located in China to the PCAOB for inspection or investigation, investors may be deprived of the benefits of such inspection. Any audit reports not issued by auditors that are completely inspected by the PCAOB, or a lack of PCAOB inspections of audit work undertaken in mainland China that prevents the PCAOB from regularly evaluating our auditors’ audits and their quality control procedures, could result in a lack of assurance that our financial statements and disclosures are adequate and accurate, then such lack of inspection could cause our ordinary shares to be delisted from the stock exchange. On December 29, 2022, the Consolidated Appropriations Act was signed into law. The Consolidated Appropriations Act contains, among other things, an identical provision to AHFCAA, which reduces the number of consecutive non-inspection years required for triggering the prohibitions under the HFCA Act from three years to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is currently subject to PCAOB inspections and the PCAOB is able to inspect our auditor. Our auditor, Marcum Asia CPAs LLP (“Marcum Asia”), is headquartered in New York City, New York, and has been inspected by the PCAOB on a regular basis. Our auditor is not headquartered in Mainland China or Hong Kong. Marcum Asia was not subject to the determinations announced by the PCAOB on December 16, 2021. Notwithstanding the foregoing, in the future, if there is any regulatory change or step taken by PRC regulators that does not permit Marcum Asia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recent developments would add uncertainties to our offering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security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trade disputes, barriers to trade, or the emergence of a trade war may influence our growth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trade disputes, and other business interruptions could harm or disrupt international commerce and the global economy, and could have a material adverse effect on us and our customers and other partners. International trade disputes could result in tariffs and other protectionist measures which may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and other countries, including the surrounding Asian countries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policies and the expected or perceived overall economic growth rate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surrounding international trade disputes and the potential of the escalation of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irrevocable voting structure centralizes control in a Trust Committee, which may limit shareholder influence and entrench control, potentially misaligning governance with investor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irrevocable voting trust, the Youxin BM Trust, through which shareholders Anxin Youxin Capital Ltd, Hope Youxin Capital Ltd, FWZ Youxin Capital Ltd, Youxin XHB Capital Ltd, and Youxin HW Capital Ltd have transferred an aggregate of 77,562 Class A Shares and 8,945,307 Class B Shares to, which serves as a bare trustee under the voting trust agreement, is required to vote and dispose of the shares solely in accordance with the instructions of the Trust Committee. The current Trust Committee consists of five members, with Mr. Sun Jinhou serving as Chairman. Mr. Sun holds the exclusive authority to nominate or replace the other members of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Voting Trust has effective control over a substantial portion of the Company’s voting power. This control is expected to persist indefinitely, as the trust is irrevocable and not subject to automatic termination. The concentration of voting power in the Trust Committee, and particularly in Mr. Sun, could significantly limit the ability of other shareholders to influence corporate matters, including the election of directors, mergers and acquisitions, or amendments to key governance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structure may result in decisions that favor the interests of the Trust Committee or affiliated parties over those of public shareholders. It may also discourage potential investors or acquirers from engaging with the Company, reduce the Company’s responsiveness to shareholder concerns, and ultimately undermine public investor confidence in the Company’s corporate governance practices.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additional costs as a result of becoming a public company, which could negatively impact our net income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In addition, the Sarbanes-Oxley Act and rules and regulations implemented by the SEC and The Nasdaq Capital Market require significantly heightened corporate governance practices for public companies. We expect that these rules and regulations will increase our legal, accounting and financial compliance costs and will make many corporate activities more time-consuming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incur materially greater costs as a result of becoming a public company than those incurred by similarly sized foreign private issuers. If we fail to comply with these rules and regulations, we could become the subject of governmental enforcement action, investors may lose confidence in us and the market price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obligation to disclose information publicly may put us at a disadvantage to competitors that are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publicly listed company, we are required to file periodic reports with the SEC upon the occurrence of matters that are material to our company and shareholders.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U.S.-listed public company, we are governed by U.S. laws that our non-publicly traded competitors are not required to follow. To the extent compliance with U.S. laws increases our expenses or decreases our competitiveness against such companies, our public listing could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5605(b)(1) of the Nasdaq Listing Rules requires listed companies to have, among other things, a majority of its board members to be independent, and Section 5605(d) and 5605(e) require listed companies to have independent director oversight of executive compensation and nomination of directors. As a foreign private issuer, however, we are permitted to follow home country practice in lieu of the above requirements. Our Board of Directors could make such a decision to depart from such requirements by ordinary resolution.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practice in our home country, the Cayman Islands, does not require a majority of our Board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the management of our company might decrease as a result. In addition,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under the rules of The Nasdaq Capital Market, we may choose to exempt our company from certain corporate governance requirements that could have an adverse effect on our public Class 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the Voting Trustee are made by the Trustee at the direction of the Trust Committee. Jinhou Sun was appointed the Chairman of the Trust Committee by the Beneficiaries and Principals. The Chairman has the exclusive right to appoint the other members of the Committee and remove any members so appointed.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and will be controlled by this shareholder, may rely upon exemptions from several of Nasdaq’s corporate governance requirements, including requirements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board of directors consist of independent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officers be determined or recommended to the board of directors by a majority of its independent directors or by a compensation committee comprised solely of independent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nominees be selected or recommended to the board of directors by a majority of its independent directors or by a nominating and corporate governance committee that is composed entirely of independent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officers and directors, either individually or in the aggregate, own at least 50% of the voting power of our company, we are a “controlled company” as defined under Nasdaq Marketplace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of our Class A Shares will be unable to elect any directors of our company or participate in our corporate governance.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Offering and Ownership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ordinary shares structure may negatively impact the market price of its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predict whether the dual-class ordinary shares structure of our company, combined with the concentrated voting power of a voting trust known as the Youxin BM Trust, with Kastle Limited as the Trustee, owning at least 50% of the voting power of our Company. Additionally, our founding shareholder and Chief Executive Officer, Mr. Shaozhang Lin, beneficially owned 57.03% of our total voting power through his beneficial ownership of 3,942,945 Class A Shares and 5,605,727 Class B Shares; and all of which had been transferred to Youxin BM Trust, will result in a lower or more volatile market price of our company’s Class A Shares, or other adverse consequences.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certain stock index providers, such as S&amp;P Dow Jones, exclude companies with multiple classes capital structure from being included in certain stock indices, including the S&amp;P 500, the S&amp;P MidCap 400 and the S&amp;P SmallCap 600. In addition, several shareholder advisory firms and large institutional investors oppose the use of multiple class structures. As a result, the dual class structure of the ordinary shares of our company may prevent the inclusion of our company’s Class A Shares in such indices, may cause shareholder advisory firms to publish negative commentary about our company’s corporate governance practices or otherwise seek to cause our company to change its capital structure, and may result in large institutional investors not purchasing our Class A Shares. Any exclusion from stock indices could result in a less active trading market for our Class A Shares. Any actions or publications by shareholder advisory firms or institutional investors critical of our company’s corporate governance practices or capital structure could also adversely affect the value of our Class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Shares are entitled to 1 vote per share and the holders of the Class B Shares are entitled to 20 votes per share. Each Class B Share is convertible into one Class A Share under certain circumstances. The difference in the voting rights between Class A Shares and Class B Shares could also harm the value of our Class A Shares to the extent that any investor or potential future purchaser of our company’s Class A Shares ascribes value to the right of holders of its Class B Shares to twenty votes per share of Class B Shares, or could potentially result in the Class B Shares receiving higher consideration in a sale of such company than that paid to holders of our Class A Shares. The existence of two classes of ordinary shares could also result in less liquidity for our Class B Shares than if there were only one class of ordinary shares. See “Description of Share Capital” for more information on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we cannot be certain whether the reduced reporting requirements applicable to emerging growth companies will make our ordinary shares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exemptions from the requirements of holding a nonbinding advisory vote on executive compensation and shareholder approval of any golden parachute payments not previously approved. We could be an emerging growth company for up to five years, although we could lose that status sooner if our revenues reach $1.235 billion, if we issue $1.0 billion or more in non-convertible debt in a three year period, or if the market value of our ordinary shares held by non-affiliates exceeds $700 million as of any December 31 before that time, in which case we would no longer be an emerging growth company as of the following June 30.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Under the JOBS Act, emerging growth companies can also delay adopting new or revised accounting standards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the extended transition period for complying with new or revised accounting standards under Section 107(b)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Consequently, our financial statements may not be comparable to companies that comply with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ordinary shares. We cannot predict if investors will find our ordinary shares less attractive because we plan to rely on this exemption. If some investors find our ordinary shares less attractive as a result, there may be a less active trading market for our ordinary shares and our share price may be more volatile.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implement and maintain effective internal control over financial reporting in the future, investors may lose confidence in the accuracy and completeness of our financial reports and the market price of our ordinary shares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preparation of our consolidated financial statements as of and for the year ended September 30, 2024, we identified material weaknesses in our internal control over financial reporting, as defined in the standards established by the PCAOB and other control deficiencies. The material weaknesses that have been identified relate to (i) lack of sufficient and competent financial reporting and accounting personnel with appropriate knowledge of U.S. GAAP and reporting requirements set forth by the SEC to address complex U.S. GAAP technical accounting issues, and to prepare and review consolidated financial statements and related disclosures in accordance with U.S.GAAP and SEC reporting requirements; (ii) lack of formal internal control policies and internal independent supervision functions to establish formal risk assessment process and internal control framework; and (iii) lack of sufficient controls designed and implemented in IT environment and IT general control activities, which are mainly associated with areas of logical access management, change management as well as cyber security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identification of the material weaknesses and control deficiencies, we have taken and planned to continue to take remedial measures, including hiring Serious Financial Management &amp; Consulting (Shenzhen) Co. Ltd as our consultant which has the requisite training and experience in the preparation of financial statements in compliance with applicable SEC requirements, and implementing regular and continuous U.S. GAAP accounting and financial reporting training programs for our accounting and financial reporting personnel. In order to maintain and improve the effectiveness of our disclosure controls and procedures and internal controls over financial reporting, we will need to expend significant resources and provide significant management oversight. We plan to adopt measures to improve our internal file management procedures and an effective recognition procedure by (i) hiring additional finance and accounting staff with qualifications and work experiences in IFRS and SEC reporting requirements to formalize and strengthen key internal controls over financial reporting; (ii) design and formalizing internal control policies, ensuring clear segregation of duties, and implement a structured risk assessment process. Developing a comprehensive internal control framework that includes regular monitoring, clear accountability, and periodic reviews to enhance transparency and mitigate potential risks; and (iii) regularly conducting checks on the IT software we utilize to ensure its proper functionality, and arranging training sessions for our IT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Moreover, ineffective internal control over financial reporting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public company, we are required to maintain internal control over financial reporting and to report any material weaknesses in such internal control. In addition, beginning with annual report on Form 20-F for the year ending September 30, 2025, we are required to furnish a report by management on the effectiveness of our internal control over financial reporting pursuant to Section 404 of the Sarbanes-Oxley Act. We are in the process of designing, implementing, and testing the internal control over financial reporting required to comply with this obligation, which process is time consuming, costly, and complicated.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independent registered public accounting firm are required to attest to the effectiveness of our internal control over financial reporting beginning with our annual report on Form 20-F following the date on which we are no longer an “emerging growth company,” which may be up to five full years following the date of this offering.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ordinary shares could be negatively affected, and we could become subject to investigations by the stock exchange on which our securities are listed, the SEC, or other regulatory authorities, which could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lacks experience in managing a U.S. public company and complying with laws applicable to such company, the failure of which may adversely affect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management team lacks experience in managing a U.S. publicly traded company, interacting with public company investors and complying with the increasingly complex laws pertaining to U.S. public companies. Prior to the completion of this offering, we mainly operate our businesses as a private company in the PRC. As a result of this offering, our company is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and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Securities Exchange Act of 1934, as amended,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and current reports with respect to our business and operating results. In addition, as long as we are listed on The Nasdaq Capital Market, we are also required to file semi-annual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these rules and regulations to increase our legal, accounting and financial compliance costs and to make certain corporate activities more time-consuming and costly. In addition, we will incur additional costs associated with our public company reporting requirements. While it is impossible to determine the amounts of such expenses in advance, we expect that we will incur expenses of between $500,000 and $1 million per year that we did not experience prior to commencement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this prospectus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these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ordinary shares may be volatile or may decline regardless of our operating performance, and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for our ordinary shares will be determined through negotiations between the underwriters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revenue and other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we may provide to the public, any changes in these projections or our failure to meet these projections;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of securities analysts who initiate or maintain coverage of us, changes in financial estimates by any securities analysts who follow our company, or our failure to meet these estimates or the expectations of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products or features, technical innovations, acquisitions, strategic partnerships, joint ventures, or capital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overall stock market, including as a result of trends in the economy as a whole;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threatened or filed against 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our public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offering prices above the assumed price per Class A Share or if we increase the aggregate offering size with an immediately effective post-effective amendment, we could raise more funds than currently assumed. To the extent (i) we raise more money than required for the purposes explained in the section titled “Use of Proceeds” or (ii) we determine that the proposed uses set forth in that section are no longer in the best interests of our company, we cannot specify with any certainty the particular uses of such net proceeds that we will receive from our public offering. However, we will advise shareholders as required in our annual reports on Form 20-F of any changes in application of funds and will file a current report on Form 6-K to the extent we determine such changes in application must be disclosed more quickly.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such net proceeds, including working capital, possible acquisitions, and other general corporate purposes, and we may not spend or invest these proceeds in a way with which our shareholders agree. The failure by our management to apply these funds effectively could harm our business and financial condition. Pending their use, we may invest the net proceeds from our public offering in a manner that does not produce income or that loses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any future earnings to finance the operation and expansion of our business, and we do not expect to declare or pay any dividends in the foreseeable future. As a result, you may only receive a return on your investment in our ordinary shares if the market price of our ordinary shares increases.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liability risks stemming from our foreign status, which could make it more difficult for investors to sue or enforce judgments against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against us judgments of courts in the United States based on certain liability provisions of U.S. securities law; and to impose liabilities against us, in original actions brought in the Cayman Islands, based on certain liability provisions of U.S. securities laws that are penal in nature. There is no statutory recognition in the Cayman Islands of judgments obtained in the United States, although the courts of the Cayman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under the law of the Cayman Islands, there is little statutory law for the protection of minority shareholders. The principal protection under statutory law is that shareholders may bring an action to enforce the constituent documents of the corporation, our Fifth Amended and Restated Memorandum and Articles of Association. Shareholders are entitled to have the affairs of the company conducted in accordance with the general law and the Fifth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common law rights for the protection of shareholders that may be invoked, largely dependent on English company law since the common law of the Cayman Islands for business companies is limited. Under the general rule pursuant to English company law known as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corporation.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may decline to register transfers of ordinary shares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refuse to register the transfer of our company’s ordinary shares to any person. They may do so in their absolute discretion, without giving any reason for their refusal, and irrespective of whether the share is fully paid or our company has no lien over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 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10% of our voting share capital in issue, to requisition an extraordinary general meeting of our shareholders, in which case our directors are obliged to call such meeting and to put the resolutions so requisitioned to a vote at such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do not provide our shareholders with any right to put any proposals before annual general meetings or extraordinary general meetings not called by such shareholders. Advance notice of at least five (5) clear days is required for the convening of our annual general shareholders’ meeting and any other general meeting of our shareholders. A quorum required for a meeting of shareholders consists of at least one or more shareholders present in person or by proxy, representing not less than one-third of the outstanding shares carrying the right to vote at such general meeting. In the event we do not have quorum within 15 minutes of the time appointed for the meeting, or if at any time during the meeting it becomes inquorate, then: (a) if the meeting was requisitioned by the shareholders, it shall be cancelled; (b) in any other case, the meeting shall stand adjourned to the same time and place seven days hence, or to such other time or place as is determined by the directors. If a quorum is not present within 15 minutes of the time appointed for the adjourned meeting, then the shareholders present in person or by proxy shall constitute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the risk factor titled “</w:t>
      </w:r>
      <w:r>
        <w:rPr>
          <w:rFonts w:ascii="Times New Roman;Times;Serif" w:hAnsi="Times New Roman;Times;Serif"/>
          <w:b w:val="false"/>
          <w:i/>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r>
        <w:rPr>
          <w:rFonts w:ascii="Times New Roman;Times;Serif" w:hAnsi="Times New Roman;Times;Serif"/>
          <w:b w:val="false"/>
          <w:i w:val="false"/>
          <w:caps w:val="false"/>
          <w:smallCaps w:val="false"/>
          <w:sz w:val="20"/>
        </w:rPr>
        <w:t>, The Nasdaq Capital Market allows foreign private issuers like our Company to opt to follow rules that apply in the issuer’s home country instead of a given Nasdaq rule. NASDAQ Listing Rule 5615(a)(3) permits a foreign private issuer like us to follow home country practices in lieu of certain requirements of Listing Rule 5600, provided that such foreign private issuer discloses in its annual report filed with the SEC each requirement of Rule 5600 that it does not follow and describes the home country practice followed in lieu of such requirement. We have opted to follow home country practice regarding quorum requirements pursuant to NASDAQ Listing Rule 5615(a)(3).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Fifth Amended and Restated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Second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Substantially all of our current operations are conducted in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facts, forecasts and statistics contained in this prospectus are derived from a third-party report and publicly available official sources and they may not be reliable.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facts, forecasts and other statistics contained in this prospectus relating to China, the PRC economy and the industry in which we operate have been derived from various official government publications or other third-party reports. We have taken reasonable care in the reproduction or extraction of the official government publications or other third-party reports for the purpose of disclosure in this prospectus, however, we cannot guarantee the quality or reliability of such source materials. They have not been prepared or independently verified by us, the underwriters or any of their respective affiliates or advisers and, therefore, we make no representation as to the accuracy of such statistics, which may not be consistent with other information compiled within or outside the PRC. Due to possibly flawed or ineffective collection methods or discrepancies between published information and market practice, such statistics in this prospectus may be inaccurate or may not be comparable to statistics produced with respect to other economies. Further, there is no assurance that they are stated or compiled on the same basis or with the same degree of accuracy as the case may be in other jurisdictions. In all cases, investors should give consideration as to how much weight or importance they should attach to or place on such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sensitive to general economic conditions, and any severe or prolonged downturn in the global or PRC economy could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in China are sensitive to global economic conditions. Because our current revenue is derived largely from China, our business and prospects may be affected by economic conditions in China. The sale of our products is dependent upon the consumption of goods in the retail industry, which may in turn depend on the level of disposable income, perceived future earnings and willingness to spend. Due to uncertain global economic conditions, particularly the current trade tension between the U.S. and China, our clients may reduce the amount they spend on cloud services, like ours. In addition, financial turmoil, banking systems or currency exchange rates may significantly restrict our ability to obtain financing in the capital markets or from financial institutions on commercially reasonable terms, or at all, which could also materially and adversely affect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rs_001"/>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the applicable prospectus supplement, we intend to use the net proceeds of any offering of securities for working capital and other general corporate purposes, which may include the repayment or refinancing of outstanding indebtedness and the financing of future acquisitions. We may have significant discretion in the use of any net proceeds. The net proceeds may be invested temporarily in interest-bearing accounts and short-term interest-bearing securities until they are used for their stated purpose. We may provide additional information on the use of the net proceeds from the sale of the offered securities in an applicable prospectus supplement relating to the offered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rs_002"/>
      <w:bookmarkEnd w:id="6"/>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We anticipate that we will retain the earnings to support operations and to finance the growth and development of our business. Any future determination relating to our dividend policy will be made at the discretion of our Board of Directors and will depend on a number of factors, including future earnings, capital requirements, financial conditions and future prospects and other factors the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out of either its profit or share premium account, but a dividend may not be paid if this would result in the company being unable to pay its debts as they fall due in the ordinary course of business. Dividends can be declared and paid out of funds lawfully available to us, which include the share premium account. According to our Articles of Association, except as otherwise provided by the rights attached to our ordinary shares, all dividends must be declared and paid according to the amounts paid up on the ordinary shares on which the dividend is paid. All dividends must be apportioned and paid proportionately to the amount paid up on the ordinary shares during the time or part of the time in respect of which the dividend is paid. However, if an ordinary share is issued on terms providing that it will rank for dividend as from a particular date, then that ordinary share will rank for dividend accordingly. For further information, see “Material Tax Consequences Applicable to U.S. Holders of Our Ordinary Shares — 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pay dividends on any of our ordinary shares in the future, as a holding company, we will be dependent on receipt of funds from our operations in overseas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rs_003"/>
      <w:bookmarkEnd w:id="7"/>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rs_004"/>
      <w:bookmarkEnd w:id="8"/>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management’s discussion and analysis of financial condition and results of operations for the years ended September 30, 2025, 2024 and 2023 please read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 in our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rs_005"/>
      <w:bookmarkEnd w:id="9"/>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business, please read “</w:t>
      </w:r>
      <w:r>
        <w:rPr>
          <w:rFonts w:ascii="Times New Roman;Times;Serif" w:hAnsi="Times New Roman;Times;Serif"/>
          <w:b w:val="false"/>
          <w:i/>
          <w:caps w:val="false"/>
          <w:smallCaps w:val="false"/>
          <w:sz w:val="20"/>
        </w:rPr>
        <w:t>Item 4. Information on the Company—B. Business Overview</w:t>
      </w:r>
      <w:r>
        <w:rPr>
          <w:rFonts w:ascii="Times New Roman;Times;Serif" w:hAnsi="Times New Roman;Times;Serif"/>
          <w:b w:val="false"/>
          <w:i w:val="false"/>
          <w:caps w:val="false"/>
          <w:smallCaps w:val="false"/>
          <w:sz w:val="20"/>
        </w:rPr>
        <w:t>” in our 2025 Annual Report, which is incorporated by reference into this prospectus. There have been no material changes or developments to our business since the filing of our 2025 Annual Report, except as otherwise set forth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or developments to our business since the filing of our Annual Report, except as otherwise set forth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significant rules and regulations that affect our business or our shareholders’ rights to receive dividends and other distributions from us, please read “</w:t>
      </w:r>
      <w:r>
        <w:rPr>
          <w:rFonts w:ascii="Times New Roman;Times;Serif" w:hAnsi="Times New Roman;Times;Serif"/>
          <w:b w:val="false"/>
          <w:i/>
          <w:caps w:val="false"/>
          <w:smallCaps w:val="false"/>
          <w:sz w:val="20"/>
        </w:rPr>
        <w:t>Regulations</w:t>
      </w:r>
      <w:r>
        <w:rPr>
          <w:rFonts w:ascii="Times New Roman;Times;Serif" w:hAnsi="Times New Roman;Times;Serif"/>
          <w:b w:val="false"/>
          <w:i w:val="false"/>
          <w:caps w:val="false"/>
          <w:smallCaps w:val="false"/>
          <w:sz w:val="20"/>
        </w:rPr>
        <w:t>” in our Form F-1 (Registration No. 333-274404), which is incorporated by reference into this prospectus. There have been no material changes or developments to our business since the filing of our 2025 Annual Report, except as otherwise set forth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s_006"/>
      <w:bookmarkEnd w:id="10"/>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management, please read “</w:t>
      </w:r>
      <w:r>
        <w:rPr>
          <w:rFonts w:ascii="Times New Roman;Times;Serif" w:hAnsi="Times New Roman;Times;Serif"/>
          <w:b w:val="false"/>
          <w:i/>
          <w:caps w:val="false"/>
          <w:smallCaps w:val="false"/>
          <w:sz w:val="20"/>
        </w:rPr>
        <w:t>Item 6. Directors, Senior Management and Employees</w:t>
      </w:r>
      <w:r>
        <w:rPr>
          <w:rFonts w:ascii="Times New Roman;Times;Serif" w:hAnsi="Times New Roman;Times;Serif"/>
          <w:b w:val="false"/>
          <w:i w:val="false"/>
          <w:caps w:val="false"/>
          <w:smallCaps w:val="false"/>
          <w:sz w:val="20"/>
        </w:rPr>
        <w:t>” in our 2025 Annual Report, which is incorporated by reference into this prospectus. There have been no material changes or developments to our management since the filing of our 2025 Annual Report, except as otherwise set forth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s_007"/>
      <w:bookmarkEnd w:id="1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related party transaction during the year ended September 30, 2025, please read “</w:t>
      </w:r>
      <w:r>
        <w:rPr>
          <w:rFonts w:ascii="Times New Roman;Times;Serif" w:hAnsi="Times New Roman;Times;Serif"/>
          <w:b w:val="false"/>
          <w:i/>
          <w:caps w:val="false"/>
          <w:smallCaps w:val="false"/>
          <w:sz w:val="20"/>
        </w:rPr>
        <w:t>Item 7. Major Shareholders And Related Party Transactions - B. Related Party Transactions</w:t>
      </w:r>
      <w:r>
        <w:rPr>
          <w:rFonts w:ascii="Times New Roman;Times;Serif" w:hAnsi="Times New Roman;Times;Serif"/>
          <w:b w:val="false"/>
          <w:i w:val="false"/>
          <w:caps w:val="false"/>
          <w:smallCaps w:val="false"/>
          <w:sz w:val="20"/>
        </w:rPr>
        <w:t>” in our 2025 Annual Report, which both are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rs_008"/>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the 2025 Annual Report, which is incorporated herein by reference, as updated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rs_009"/>
      <w:bookmarkEnd w:id="13"/>
      <w:r>
        <w:rPr>
          <w:rFonts w:ascii="Times New Roman;Times;Serif" w:hAnsi="Times New Roman;Times;Serif"/>
          <w:b/>
          <w:i w:val="false"/>
          <w:caps w:val="false"/>
          <w:smallCaps w:val="false"/>
          <w:sz w:val="20"/>
        </w:rPr>
        <w:t>DESCRIPTION OF SHARE CAPITAL AND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Cayman Islands exempted company with limited liability duly registered with the Cayman Islands Registrar of Companies. Our affairs are governed by our Fifth Amended and Restated Memorandum and Articles of Association, the Companies Act (as revised) of the Cayman Islands, which is referred to as the Companies Act below, and the common law of the Cayman Islands. Our corporate purposes are unrestricted and we have the authority to carry out any object not prohibited by any law as provided by Section 7(4) of the Companies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our Class A Shares and Class B Shares and certain provision of our amended and restated memorandum and articles of association is incorporated by reference from our Annual Report, under the caption “</w:t>
      </w:r>
      <w:r>
        <w:rPr>
          <w:rFonts w:ascii="Times New Roman;Times;Serif" w:hAnsi="Times New Roman;Times;Serif"/>
          <w:b w:val="false"/>
          <w:i/>
          <w:caps w:val="false"/>
          <w:smallCaps w:val="false"/>
          <w:sz w:val="20"/>
        </w:rPr>
        <w:t>Item 10. Additional Information – 10.B. Articles of Association</w:t>
      </w:r>
      <w:r>
        <w:rPr>
          <w:rFonts w:ascii="Times New Roman;Times;Serif" w:hAnsi="Times New Roman;Times;Serif"/>
          <w:b w:val="false"/>
          <w:i w:val="false"/>
          <w:caps w:val="false"/>
          <w:smallCaps w:val="false"/>
          <w:sz w:val="20"/>
        </w:rPr>
        <w:t>.” Such information does not purport to be complete and is qualified in its entirety by the provisions of our fifth amended and restated memorandum and articles of association and applicable provisions of the Companies Act (as revised) of the Cayman Islands and the common law of the Cayman Islands. You should read our amended and restated memorandum and articles of association, which are filed as Exhibit 3.2 of this registration statement for the provisions that are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date of the prospectus, the authorized share capital of our company is US$1,640,000 divided into (i) 204,750,000 class A ordinary shares of US$0.008 par value each and (ii) 20,000,000 class B ordinary shares of US$0.0001 par value each. As of May 8, 2026, our company had 13,846,647 Class A Shares and 8,945,307 Class B Shares, issued and outstanding, respectively. For a description of our Class A and Class B Shares, including the rights and obligations thereto, please refer to our Annual Report,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elsewhere in this prospectus for information on where you can obtain copies of our amended and restated memorandum and articles of association, which have been filed with and are publicly available from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rs_010"/>
      <w:bookmarkEnd w:id="14"/>
      <w:r>
        <w:rPr>
          <w:rFonts w:ascii="Times New Roman;Times;Serif" w:hAnsi="Times New Roman;Times;Serif"/>
          <w:b/>
          <w:i w:val="false"/>
          <w:caps w:val="false"/>
          <w:smallCaps w:val="false"/>
          <w:sz w:val="20"/>
        </w:rPr>
        <w:t>DESCRIPTION OF SHARE PURCHASE CONTRACTS AND SHARE PURCHASE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 purchase contracts, including contracts obligating holders to purchase from us, and obligating us to sell to the holders, a specified number of shares of Class A Shares or other securities registered hereunder at a future date or dates, which we refer to in this prospectus as “share purchase contracts.” The price per share of the securities and the number of shares of the securities may be fixed at the time the share purchase contracts are issued or may be determined by reference to a specific formula set forth in the share purchase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may be issued separately or as part of units consisting of a share purchase contract and warrants, other securities registered hereunder or debt obligations of third parties, including U.S. treasury securities, securing the holders’ obligations to purchase the securities under the share purchase contracts, which we refer to herein as “share purchase units.” The share purchase contracts may require holders to secure their obligations under the share purchase contracts in a specified manner. The share purchase contracts also may require us to make periodic payments to the holders of the share purchase units or vice versa, and those payments may be unsecured or refunded on some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and, if applicable, collateral or depositary arrangements, relating to the share purchase contracts or share purchase units, will be filed with the SEC in connection with the offering of share purchase contracts or share purchase units. The prospectus supplement relating to a particular issue of share purchase contracts or share purchase units will describe the terms of those share purchase contracts or share purchase units, including the following:</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material tax considerations; and</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we think is important about the share purchase contracts or the share purchase units.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rs_011"/>
      <w:bookmarkEnd w:id="15"/>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under this prospectus, we will describe the particular terms of any series of warrants that we may offer in more detail in the applicable prospectus supplement. If we indicate in the prospectus supplement, the terms of any warrants offered under that prospectus supplement may differ from the terms described below. However, no prospectus supplement shall fundamentally change the terms that are set forth in this prospectus or offer a security that is not registered and described in this prospectus at the time of its effectiveness. Specific warrant agreements will contain additional important terms and provisions and will be incorporated by reference as an exhibit to the registration statement that includes this prospectus or as an exhibit to a report filed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that entitle the holder to purchase our Class A Shares, or any combination thereof. We may issue warrants independently or together with Class A Shares, or any combination thereof, and the warrants may be attached to or separate from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and aggregate number of warrants offered;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for which the warrants may be purchased, if not United States dollars;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Class A Shares, preferred shares, or depositary shares, the number of Class A Shares, preferred shares or depositary shares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any merger, consolidation, sale or other disposition of our business on the warrant agreement and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warrant agreement and warrants may be modified;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income tax consequences of holding or exercising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Class A Shares, preferred shares or depositary shares,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agreements may permit us and the warrant agent, if any, without the consent of the warrant holders, to supplement or amend the agreement in the following circumstances:</w:t>
      </w:r>
    </w:p>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w:t>
            </w:r>
          </w:p>
        </w:tc>
      </w:tr>
    </w:tbl>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correct or supplement any provision which may be defective or inconsistent with any other provisions;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new provisions regarding matters or questions that we and the warrant agent may deem necessary or desirable and which do not adversely affect the interests of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rs_012"/>
      <w:bookmarkEnd w:id="16"/>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Class A Shares, preferred shares, depositary shares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number of shares of Class A Shares, preferred shares, or depositary shares purchasable upon exercise of the rights;</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shares of Class A Shares, preferred shares, depositary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rs_013"/>
      <w:bookmarkEnd w:id="1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in this prospectus through underwriters or dealers, through agents, or directly to one or more purchasers or through a combination of these methods. The applicable prospectus supplement will describe the terms of the offering of the securities,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if any, and if required, any dealers or agents, and the amount of securities underwritten or purchased by each of them,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or purchase price of the securities from us and the net proceeds to us from the sale of the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other items constituting underwriters’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prices determined at the time of sale related to such prevailing market prices;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Shares are listed on the NASDAQ Capital Market. Unless otherwise specified in the related prospectus supplement, all securities we offer, other than Class A Shares,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may pay the agent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rs_014"/>
      <w:bookmarkEnd w:id="18"/>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rs_015"/>
      <w:bookmarkEnd w:id="19"/>
      <w:r>
        <w:rPr>
          <w:rFonts w:ascii="Times New Roman;Times;Serif" w:hAnsi="Times New Roman;Times;Serif"/>
          <w:b/>
          <w:i w:val="false"/>
          <w:caps/>
          <w:sz w:val="20"/>
        </w:rPr>
        <w:t>EXPENSES RELATING TO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all amounts are estimates.</w:t>
      </w:r>
    </w:p>
    <w:p>
      <w:pPr>
        <w:pStyle w:val="TextBody"/>
        <w:bidi w:val="0"/>
        <w:spacing w:before="0" w:after="0"/>
        <w:ind w:left="0" w:right="0" w:hanging="0"/>
        <w:jc w:val="both"/>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5210"/>
        <w:gridCol w:w="60"/>
        <w:gridCol w:w="140"/>
        <w:gridCol w:w="980"/>
        <w:gridCol w:w="75"/>
      </w:tblGrid>
      <w:tr>
        <w:trPr/>
        <w:tc>
          <w:tcPr>
            <w:tcW w:w="5210" w:type="dxa"/>
            <w:tcBorders/>
            <w:shd w:fill="CCEEFF" w:val="clear"/>
            <w:vAlign w:val="center"/>
          </w:tcPr>
          <w:p>
            <w:pPr>
              <w:pStyle w:val="TableContents"/>
              <w:bidi w:val="0"/>
              <w:spacing w:before="0" w:after="283"/>
              <w:jc w:val="both"/>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13,810.00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1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both"/>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rs_016"/>
      <w:bookmarkEnd w:id="2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Kaufman &amp; Canoles, P.C. is acting as counsel to our company regarding U.S. securities law. Ogier is acting as counsel to our company regarding Cayman Islands law. The validity of the Class A Shares offered hereby will be passed upon for us by Ogier. Certain legal matters as to PRC law will be passed upon for us by Jingtian &amp; Gongcheng. Kaufman &amp; Canoles, P.C. may rely upon Jingtian &amp; Gongcheng with respect to matters governed by PRC law and on Ogier with respect to matters governed by Cayman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rs_017"/>
      <w:bookmarkEnd w:id="21"/>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Asia CPAs LLP, an independent registered public accounting firm, has audited our consolidated financial statements as of September 30, 2025, 2024 and 2023, and for each of the years in the three-year period ended September 30, 2025, included in our Annual Report on Form 20-F for the fiscal year ended September 30, 2025, which is incorporated by reference into this prospectus and elsewhere in the registration statement in reliance on the report of Marcum Asia CPAs LLP.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GGF CPA LTD, an independent registered public accounting firm, has audited the consolidated financial statements of Celnet Technology Co., Ltd. and its subsidiaries as of September 30, 2025 and 2024, and for each of the two years in the period ended September 30, 2025, included in our Report on Form 6-K furnished to the SEC on April 21, 2026, which is incorporated by reference into this prospectus and elsewhere in the registration statement in reliance on the report of GGF CPA LTD.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rs_018"/>
      <w:bookmarkEnd w:id="22"/>
      <w:r>
        <w:rPr>
          <w:rFonts w:ascii="Times New Roman;Times;Serif" w:hAnsi="Times New Roman;Times;Serif"/>
          <w:b/>
          <w:i w:val="false"/>
          <w:caps w:val="false"/>
          <w:smallCaps w:val="false"/>
          <w:sz w:val="20"/>
        </w:rPr>
        <w:t>INTERESTS OF NAMED EXPERTS AND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expert or counsel named in this prospectus as having prepared or certified any part of this prospectus or having given an opinion upon the validity of the securities being registered or upon other legal matters in connection with the registration or offering of the Class A Shares was employed on a contingency basis, or had, or is to receive, in connection with the offering, a substantial interest, direct or indirect, in the registrant. Nor was any such person connected with the registrant as a promoter, managing or principal underwriter, voting trustee, director, officer,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rs_019"/>
      <w:bookmarkEnd w:id="23"/>
      <w:r>
        <w:rPr>
          <w:rFonts w:ascii="Times New Roman;Times;Serif" w:hAnsi="Times New Roman;Times;Serif"/>
          <w:b/>
          <w:i w:val="false"/>
          <w:caps w:val="false"/>
          <w:smallCaps w:val="false"/>
          <w:sz w:val="20"/>
        </w:rPr>
        <w:t>DISCLOSURE OF COMMISSION POSITION ON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rs_020"/>
      <w:bookmarkEnd w:id="24"/>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and schedules attached to the registration statement and the information incorporated by reference,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below in “Where You Can Find More Information.” The documents we are incorporating by reference into this prospectus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September 30, 2025, filed with the SEC on January 28,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6-K, filed with the SEC on </w:t>
            </w:r>
            <w:hyperlink r:id="rId5">
              <w:r>
                <w:rPr>
                  <w:rStyle w:val="InternetLink"/>
                  <w:rFonts w:ascii="Times New Roman;Times;Serif" w:hAnsi="Times New Roman;Times;Serif"/>
                  <w:b w:val="false"/>
                  <w:i w:val="false"/>
                  <w:caps w:val="false"/>
                  <w:smallCaps w:val="false"/>
                  <w:sz w:val="20"/>
                </w:rPr>
                <w:t>January 29,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February 6,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19,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April 27,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Class A Shares contained in our Registration Statement on </w:t>
            </w:r>
            <w:hyperlink r:id="rId1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registering our Class A Shares under Section 12(b) under the Exchange Act, filed with the SEC on December 13,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 copy of these filings, without charge, by writing or calling us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1005, 1006, 1007, No. 122 Huangpu Avenue West, Tianhe District, Guangzhou, Guangdong Province,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13631357745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https://www.ir.youxin.cloud/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rs_021"/>
      <w:bookmarkEnd w:id="2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Our directors, Jinhou Sun, who serves as our Chairman of our Board of Directors, and Shaozhang Lin, who concurrently serves as our Chief Executive Officer and director, are PRC residents. Our Chief Financial Officer, Xirui Guo is a PRC resident. One of our independent directors, Chu Kam Hung, is a Hong Kong permanent resident; Edward C. Ye is U.S. residents.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(850 Library Avenue, Suite 204, Newark, Delaware 19711) as our agent to receive service of process with respect to any action brought against us in the United States District Court for the Southern District of New York under the federal securities laws of the United States or of any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Jingtian &amp; Gongcheng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Ogier, our Cayman Islands legal counsel, that there is uncertainty as to whether the courts of the Cayman Islands would: (i) recognize or enforce judgments of courts of the United States against us or our directors or officers predicated upon the civil liability provisions of securities laws of the United States or any state in the United States; and (ii) entertain original actions brought in the Cayman Islands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advised by Ogier that, although there is no statutory enforcement in the Cayman Islands of judgments obtained in the United States, the courts of the Cayman Islands will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 and conclusive;</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170"/>
        <w:gridCol w:w="2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As the courts of the Cayman Islands have yet to rule on making such a determination, it is uncertain whether such civil liability judgments from United States courts would be enforceable in the Cayman Islands.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rs_022"/>
      <w:bookmarkEnd w:id="2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reporting company and file annual, quarterly and current reports, proxy statements and other information with the SEC. This prospectus does not contain all of the information set forth in the registration statement or the exhibits that are a part of the registration statement.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Our filings with the SEC are also available to the public through the SEC’s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Contracts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Units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857500" cy="752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the delivery of this prospectus or the sale of these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memorandum and articles of association, will empower us to indemnify our directors and officers against certain liabilities they incur by reason of their being a director or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indemnification agreements with each of our directors and executive officers in connection with this offering.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 connection with this offering will also provide for indemnification of us and our officers, directors or persons controlling us for certain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obtain directors’ and officer’s liability insurance coverage that will cover certain liabilities of directors and officers of our company arising out of claims based on acts or omissions in their capacities as directors 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share capital issued by us during the last three years. We believe that each of the following issuances was not subject to or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reliance on Regulation S under the Securities Act regarding sales by an issuer in offshore transactions or pursuant to section 4(a)(2) of the Securities Act regarding transactions not involving a public offering. No underwriters were involved in these issuances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incorporation, we issued an aggregate of 3 Ordinary Shares of par value of US$0.001 each on Oct 21, 2022 to 3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2023, the ordinary shares of the Company were subdivided and redesignated as Class A Shares and Class B Shares with par value of US$0.0001. The above 3 Ordinary Shares were repurchased by the Company in consideration of the issuance and allotment of 30 Class B Shares of par value of US$0.0001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the Company issued and allotted further shares, such additional shares comprising of a total of 22,304,693 Class A Shares and 8,945,307 Class B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attached to this registration statement,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have been omitted because the information required to be set forth therein is not applicable or has been included in the consolidated financial statements or notes thereto.</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3"/>
        <w:gridCol w:w="86"/>
        <w:gridCol w:w="9306"/>
      </w:tblGrid>
      <w:tr>
        <w:trPr/>
        <w:tc>
          <w:tcPr>
            <w:tcW w:w="81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Memorandum and Articles of Association (incorporated by reference to Exhibit 3.1 of our Registration Statement on Form F-1 (File No. 333-274404) filed with the Securities and Exchange Commission on September 7, 2023)</w:t>
              </w:r>
            </w:hyperlink>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pPr>
            <w:hyperlink w:anchor="ex3-2.htm">
              <w:r>
                <w:rPr>
                  <w:rStyle w:val="InternetLink"/>
                  <w:rFonts w:ascii="Times New Roman;Times;Serif" w:hAnsi="Times New Roman;Times;Serif"/>
                  <w:b w:val="false"/>
                  <w:i w:val="false"/>
                  <w:caps w:val="false"/>
                  <w:smallCaps w:val="false"/>
                  <w:sz w:val="20"/>
                </w:rPr>
                <w:t>Fifth Amended and Restated Memorandum of Association</w:t>
              </w:r>
            </w:hyperlink>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Registrant’s Specimen Certificate for Ordinary Shares (incorporated by reference to Exhibit 4.1 of our Registration Statement on Form F-1 (File No. 333-274404) filed with the Securities and Exchange Commission on December 16, 2024)</w:t>
              </w:r>
            </w:hyperlink>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 Purchase Contract</w:t>
            </w:r>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 Purchase Unit</w:t>
            </w:r>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Class A Share Warrant Agreement and Warrant Certificate</w:t>
            </w:r>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 (including rights certificate)</w:t>
            </w:r>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(including unit certificate)</w:t>
            </w:r>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Ogier regarding the validity of the Ordinary Shares being registered</w:t>
              </w:r>
            </w:hyperlink>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Marcum Asia CPAS, LLP</w:t>
              </w:r>
            </w:hyperlink>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Ogier (included in Exhibit 5.1)</w:t>
              </w:r>
            </w:hyperlink>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Consent of Jingtian&amp;Gongcheng (included in Exhibit 99.1)</w:t>
              </w:r>
            </w:hyperlink>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xml:space="preserve">  </w:t>
            </w:r>
          </w:p>
        </w:tc>
        <w:tc>
          <w:tcPr>
            <w:tcW w:w="9306" w:type="dxa"/>
            <w:tcBorders/>
            <w:shd w:fill="CCEEFF" w:val="clear"/>
            <w:tcMar>
              <w:bottom w:w="0" w:type="dxa"/>
            </w:tcMar>
            <w:vAlign w:val="center"/>
          </w:tcPr>
          <w:p>
            <w:pPr>
              <w:pStyle w:val="TableContents"/>
              <w:bidi w:val="0"/>
              <w:spacing w:before="0" w:after="283"/>
              <w:jc w:val="both"/>
              <w:rPr/>
            </w:pPr>
            <w:hyperlink w:anchor="ex23-4.htm">
              <w:r>
                <w:rPr>
                  <w:rStyle w:val="InternetLink"/>
                  <w:rFonts w:ascii="Times New Roman;Times;Serif" w:hAnsi="Times New Roman;Times;Serif"/>
                  <w:b w:val="false"/>
                  <w:i w:val="false"/>
                  <w:caps w:val="false"/>
                  <w:smallCaps w:val="false"/>
                  <w:sz w:val="20"/>
                </w:rPr>
                <w:t>Consent of GGF CPA LTD</w:t>
              </w:r>
            </w:hyperlink>
            <w:r>
              <w:rPr>
                <w:rFonts w:ascii="Times New Roman;Times;Serif" w:hAnsi="Times New Roman;Times;Serif"/>
                <w:b w:val="false"/>
                <w:i w:val="false"/>
                <w:caps w:val="false"/>
                <w:smallCaps w:val="false"/>
                <w:sz w:val="20"/>
              </w:rPr>
              <w:t xml:space="preserve"> </w:t>
            </w:r>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pPr>
            <w:hyperlink w:anchor="o_001">
              <w:r>
                <w:rPr>
                  <w:rStyle w:val="InternetLink"/>
                  <w:rFonts w:ascii="Times New Roman;Times;Serif" w:hAnsi="Times New Roman;Times;Serif"/>
                  <w:b w:val="false"/>
                  <w:i w:val="false"/>
                  <w:caps w:val="false"/>
                  <w:smallCaps w:val="false"/>
                  <w:sz w:val="20"/>
                </w:rPr>
                <w:t>Power of Attorney (included on signature page to this filing of the Registration Statement on Form F-3)</w:t>
              </w:r>
            </w:hyperlink>
          </w:p>
        </w:tc>
      </w:tr>
      <w:tr>
        <w:trPr/>
        <w:tc>
          <w:tcPr>
            <w:tcW w:w="81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86"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Opinion of Jingtian &amp; Gongcheng, People’s Republic of China counsel to the Registrant, regarding certain PRC law matters</w:t>
              </w:r>
            </w:hyperlink>
          </w:p>
        </w:tc>
      </w:tr>
      <w:tr>
        <w:trPr/>
        <w:tc>
          <w:tcPr>
            <w:tcW w:w="81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8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xml:space="preserve">  </w:t>
            </w:r>
          </w:p>
        </w:tc>
        <w:tc>
          <w:tcPr>
            <w:tcW w:w="9306" w:type="dxa"/>
            <w:tcBorders/>
            <w:shd w:fill="FFFFFF" w:val="clear"/>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 xml:space="preserve">Calculation Filing Fee </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applicable, to be filed by an amendment or as an exhibit to a document filed under the Exchange Act and incorporated by reference herein. </w:t>
            </w:r>
          </w:p>
        </w:tc>
      </w:tr>
      <w:tr>
        <w:trPr/>
        <w:tc>
          <w:tcPr>
            <w:tcW w:w="25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8" w:type="dxa"/>
            <w:tcBorders/>
            <w:vAlign w:val="center"/>
          </w:tcPr>
          <w:p>
            <w:pPr>
              <w:pStyle w:val="TableContents"/>
              <w:bidi w:val="0"/>
              <w:spacing w:before="0" w:after="283"/>
              <w:jc w:val="both"/>
              <w:rPr>
                <w:caps w:val="false"/>
                <w:smallCaps w:val="false"/>
              </w:rPr>
            </w:pPr>
            <w:r>
              <w:rPr>
                <w:caps w:val="false"/>
                <w:smallCaps w:val="false"/>
              </w:rPr>
              <w:t xml:space="preserve">  </w:t>
            </w:r>
          </w:p>
        </w:tc>
      </w:tr>
      <w:tr>
        <w:trPr/>
        <w:tc>
          <w:tcPr>
            <w:tcW w:w="2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China, on May 11, 2026.</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Shaozhang Lin</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o_001"/>
      <w:bookmarkEnd w:id="27"/>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Shaozhang Lin and Jinhou Sun,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1865"/>
        <w:gridCol w:w="60"/>
        <w:gridCol w:w="4310"/>
        <w:gridCol w:w="60"/>
        <w:gridCol w:w="1175"/>
      </w:tblGrid>
      <w:tr>
        <w:trPr/>
        <w:tc>
          <w:tcPr>
            <w:tcW w:w="186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70"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35"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Shaozhang Lin</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Shaozhang Lin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Xirui Guo</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Xirui Guo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Jinhou Sun</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Jinhou Sun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Chu Kam Hung</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Chu Kam Hung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Yisu Fan</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Yisu Fan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Edward C. Ye</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r>
        <w:trPr/>
        <w:tc>
          <w:tcPr>
            <w:tcW w:w="186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Edward C. Ye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3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Youxin Technology Ltd., has signed this registration statement or amendment thereto in Newark, Delaware on May 11, 2026.</w:t>
      </w:r>
    </w:p>
    <w:p>
      <w:pPr>
        <w:pStyle w:val="TextBody"/>
        <w:bidi w:val="0"/>
        <w:spacing w:before="0" w:after="0"/>
        <w:jc w:val="center"/>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545"/>
        <w:gridCol w:w="17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Donald J. Puglisi</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J. Puglisi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8" w:name="ex3-2.htm"/>
      <w:bookmarkStart w:id="29" w:name="ksex3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FIFth AMENDED AND RESTATED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memorandum of association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December 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r>
        <w:rPr>
          <w:caps/>
        </w:rPr>
        <w:drawing>
          <wp:inline distT="0" distB="0" distL="0" distR="0">
            <wp:extent cx="112395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 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December 9, 2025)</w:t>
      </w:r>
    </w:p>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40"/>
        <w:gridCol w:w="443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Youxin Technology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USD1,640,000 divided into (i) 204,750,000 class A ordinary shares of USD0.008 par value each and (ii) 20,000,000 class B ordinary shares of USD0.0001 par value each. Subject to the Companies Act (Revised) and the Company’s articles of association, the Company has power to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230"/>
        <w:gridCol w:w="3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245"/>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30"/>
        <w:gridCol w:w="6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00"/>
        <w:gridCol w:w="7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60"/>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18"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45"/>
        <w:gridCol w:w="6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FIFTH AMENDED AND RESTATED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association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December 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395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5470" w:type="dxa"/>
        <w:jc w:val="left"/>
        <w:tblInd w:w="0" w:type="dxa"/>
        <w:tblLayout w:type="fixed"/>
        <w:tblCellMar>
          <w:top w:w="0" w:type="dxa"/>
          <w:left w:w="0" w:type="dxa"/>
          <w:bottom w:w="0" w:type="dxa"/>
          <w:right w:w="0" w:type="dxa"/>
        </w:tblCellMar>
      </w:tblPr>
      <w:tblGrid>
        <w:gridCol w:w="5225"/>
        <w:gridCol w:w="245"/>
      </w:tblGrid>
      <w:tr>
        <w:trPr/>
        <w:tc>
          <w:tcPr>
            <w:tcW w:w="52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845"/>
        <w:gridCol w:w="245"/>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Transmission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Alteration of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Redemption and purchase of own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Proceedings at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Virtual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5330"/>
        <w:gridCol w:w="245"/>
      </w:tblGrid>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postponement and cancellation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Voting rights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Number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Appointment, disqualification and 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Alternate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260"/>
        <w:gridCol w:w="245"/>
      </w:tblGrid>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Delegation of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Meetings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Permissible Directors’ interests and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Minutes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Accounts and audit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Record dates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985"/>
        <w:gridCol w:w="245"/>
      </w:tblGrid>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Capitalisation of profits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Authentication of Electronic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Transfer by way of continuation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Winding up</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Amendment of Memorandum and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December 9, 2025)</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09"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30"/>
        <w:gridCol w:w="4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45"/>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USD0.008 each, which have the rights set forth in the Memorandum and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USD0.0001 each, which have the rights set forth in the Memorandum and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Majority</w:t>
      </w:r>
      <w:r>
        <w:rPr>
          <w:rFonts w:ascii="Times New Roman;Times;Serif" w:hAnsi="Times New Roman;Times;Serif"/>
          <w:b w:val="false"/>
          <w:i w:val="false"/>
          <w:caps w:val="false"/>
          <w:smallCaps w:val="false"/>
          <w:sz w:val="20"/>
        </w:rPr>
        <w:t xml:space="preserve"> means the holders of a majority of the votes of the outstanding Class B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09"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230"/>
        <w:gridCol w:w="4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24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09"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Number</w:t>
      </w:r>
      <w:r>
        <w:rPr>
          <w:rFonts w:ascii="Times New Roman;Times;Serif" w:hAnsi="Times New Roman;Times;Serif"/>
          <w:b w:val="false"/>
          <w:i w:val="false"/>
          <w:caps w:val="false"/>
          <w:smallCaps w:val="false"/>
          <w:sz w:val="20"/>
        </w:rPr>
        <w:t xml:space="preserve"> 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xml:space="preserve"> 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Stock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duly constituted general meeting of the Company passed by a simple majority of the votes cast by, or on behalf of, the Members who (being entitled to do so) vote in person or by proxy or, in the case of corporations, by their duly authorised representatives, at that meeting. The expression also includes a written resolution signed by the requisite majority in accordance with Article 11.14.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Class A Share or a Class B Share in the capital of the Company and the expression:</w:t>
      </w:r>
    </w:p>
    <w:p>
      <w:pPr>
        <w:pStyle w:val="TextBody"/>
        <w:bidi w:val="0"/>
        <w:spacing w:before="0" w:after="0"/>
        <w:ind w:left="709"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245"/>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the votes cast by, or on behalf of,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solely by means of Electronic Communication Facilities.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200"/>
        <w:gridCol w:w="4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0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present</w:t>
            </w:r>
            <w:r>
              <w:rPr>
                <w:rFonts w:ascii="Times New Roman;Times;Serif" w:hAnsi="Times New Roman;Times;Serif"/>
                <w:b w:val="false"/>
                <w:i w:val="false"/>
                <w:caps w:val="false"/>
                <w:smallCaps w:val="false"/>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 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09"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 all respects other than as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305"/>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245"/>
        <w:gridCol w:w="1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260"/>
        <w:gridCol w:w="7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320"/>
        <w:gridCol w:w="8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twenty (20) votes on all matters subject to the vote by Members.</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30"/>
        <w:gridCol w:w="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3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230"/>
        <w:gridCol w:w="7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2.16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30"/>
        <w:gridCol w:w="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245"/>
        <w:gridCol w:w="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245"/>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09"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30"/>
        <w:gridCol w:w="7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3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230"/>
        <w:gridCol w:w="8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245"/>
        <w:gridCol w:w="8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23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245"/>
        <w:gridCol w:w="3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245"/>
        <w:gridCol w:w="3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30"/>
        <w:gridCol w:w="6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3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200"/>
        <w:gridCol w:w="6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260"/>
        <w:gridCol w:w="3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0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registration of any transfer of shares must be approved by the Board, and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245"/>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230"/>
        <w:gridCol w:w="7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23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3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45"/>
        <w:gridCol w:w="8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230"/>
        <w:gridCol w:w="9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245"/>
        <w:gridCol w:w="5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00"/>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230"/>
        <w:gridCol w:w="7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23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3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23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45"/>
        <w:gridCol w:w="5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meeting will be held virtually, at a physical place or both;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(including in any part virtually), the Electronic Communication Facilities that will be used to facilitate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(e) and (to the extent applicable) the requirements of the Designated Stock Exchange Rules, the general nature of the business to be transacted; and</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230"/>
        <w:gridCol w:w="6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500"/>
        <w:gridCol w:w="68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ten (10) Clear Days’ notice of a general meeting must be given to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230"/>
        <w:gridCol w:w="1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230"/>
        <w:gridCol w:w="1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45"/>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245"/>
        <w:gridCol w:w="5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30"/>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245"/>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outstanding Shares carrying the right to vote at such general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(including any Virtual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8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all that happens at the meeting (whether by use of microphones, audio visual communications equipment or otherwise);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8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by all persons present in the same way.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8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283"/>
        <w:jc w:val="left"/>
        <w:rPr/>
      </w:pPr>
      <w:r>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adjourned, with or without an appointed date for resumption, at any time during the meeting at the discretion of the chairman with the consent of the Member(s) constituting a quorum.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283"/>
        <w:jc w:val="left"/>
        <w:rPr/>
      </w:pPr>
      <w:r>
        <w:rPr/>
        <w:t> </w:t>
      </w:r>
    </w:p>
    <w:tbl>
      <w:tblPr>
        <w:tblW w:w="6160" w:type="dxa"/>
        <w:jc w:val="left"/>
        <w:tblInd w:w="0" w:type="dxa"/>
        <w:tblLayout w:type="fixed"/>
        <w:tblCellMar>
          <w:top w:w="0" w:type="dxa"/>
          <w:left w:w="0" w:type="dxa"/>
          <w:bottom w:w="0" w:type="dxa"/>
          <w:right w:w="0" w:type="dxa"/>
        </w:tblCellMar>
      </w:tblPr>
      <w:tblGrid>
        <w:gridCol w:w="500"/>
        <w:gridCol w:w="56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500"/>
        <w:gridCol w:w="875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230"/>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45"/>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1" w:type="dxa"/>
            <w:tcBorders/>
            <w:vAlign w:val="center"/>
          </w:tcPr>
          <w:p>
            <w:pPr>
              <w:pStyle w:val="TableContents"/>
              <w:bidi w:val="0"/>
              <w:spacing w:before="0" w:after="283"/>
              <w:jc w:val="left"/>
              <w:rPr>
                <w:caps w:val="false"/>
                <w:smallCaps w:val="false"/>
              </w:rPr>
            </w:pPr>
            <w:r>
              <w:rPr>
                <w:caps w:val="false"/>
                <w:smallCaps w:val="false"/>
              </w:rPr>
              <w:t> </w:t>
            </w:r>
          </w:p>
        </w:tc>
        <w:tc>
          <w:tcPr>
            <w:tcW w:w="9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twenty (20)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each Class A Share shall be entitled to one (1) vote on all matters subject to vote at general meetings of the Company, and each Class B Share shall be entitled to twenty (20) votes on all matters subject to vote at general meetings of the Company. A fraction of a Class A Share shall entitle its holder to an equivalent fraction of one (1) vote, and a fraction of a Class B Share shall entitle its holder to an equivalent fraction of twenty (20) votes.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283"/>
        <w:jc w:val="left"/>
        <w:rPr/>
      </w:pPr>
      <w:r>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7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7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7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12.16.</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230"/>
        <w:gridCol w:w="5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specified in the notice convening the meeting or in any form of appointment of proxy sent out by the Company in relation to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320"/>
        <w:gridCol w:w="7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5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5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not confer any further right to speak at the meeting, except with the permission of the chairman of the meeting.</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283"/>
        <w:jc w:val="left"/>
        <w:rPr/>
      </w:pPr>
      <w:r>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class of the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283"/>
        <w:jc w:val="left"/>
        <w:rPr/>
      </w:pPr>
      <w:r>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283"/>
        <w:jc w:val="left"/>
        <w:rPr/>
      </w:pPr>
      <w:r>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283"/>
        <w:jc w:val="left"/>
        <w:rPr/>
      </w:pPr>
      <w:r>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283"/>
        <w:jc w:val="left"/>
        <w:rPr/>
      </w:pPr>
      <w:r>
        <w:rPr/>
        <w:t> </w:t>
      </w:r>
    </w:p>
    <w:tbl>
      <w:tblPr>
        <w:tblW w:w="8875" w:type="dxa"/>
        <w:jc w:val="left"/>
        <w:tblInd w:w="0" w:type="dxa"/>
        <w:tblLayout w:type="fixed"/>
        <w:tblCellMar>
          <w:top w:w="0" w:type="dxa"/>
          <w:left w:w="0" w:type="dxa"/>
          <w:bottom w:w="0" w:type="dxa"/>
          <w:right w:w="0" w:type="dxa"/>
        </w:tblCellMar>
      </w:tblPr>
      <w:tblGrid>
        <w:gridCol w:w="500"/>
        <w:gridCol w:w="83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283"/>
        <w:jc w:val="left"/>
        <w:rPr/>
      </w:pPr>
      <w:r>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283"/>
        <w:jc w:val="left"/>
        <w:rPr/>
      </w:pPr>
      <w:r>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6664" w:type="dxa"/>
        <w:jc w:val="left"/>
        <w:tblInd w:w="0" w:type="dxa"/>
        <w:tblLayout w:type="fixed"/>
        <w:tblCellMar>
          <w:top w:w="0" w:type="dxa"/>
          <w:left w:w="0" w:type="dxa"/>
          <w:bottom w:w="0" w:type="dxa"/>
          <w:right w:w="0" w:type="dxa"/>
        </w:tblCellMar>
      </w:tblPr>
      <w:tblGrid>
        <w:gridCol w:w="75"/>
        <w:gridCol w:w="609"/>
        <w:gridCol w:w="5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caps w:val="false"/>
                <w:smallCaps w:val="false"/>
              </w:rPr>
            </w:pPr>
            <w:r>
              <w:rPr>
                <w:caps w:val="false"/>
                <w:smallCaps w:val="false"/>
              </w:rPr>
              <w:t> </w:t>
            </w:r>
          </w:p>
        </w:tc>
        <w:tc>
          <w:tcPr>
            <w:tcW w:w="5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caps w:val="false"/>
                <w:smallCaps w:val="false"/>
              </w:rPr>
            </w:pPr>
            <w:r>
              <w:rPr>
                <w:caps w:val="false"/>
                <w:smallCaps w:val="false"/>
              </w:rPr>
              <w:t> </w:t>
            </w:r>
          </w:p>
        </w:tc>
        <w:tc>
          <w:tcPr>
            <w:tcW w:w="5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caps w:val="false"/>
                <w:smallCaps w:val="false"/>
              </w:rPr>
            </w:pPr>
            <w:r>
              <w:rPr>
                <w:caps w:val="false"/>
                <w:smallCaps w:val="false"/>
              </w:rPr>
              <w:t> </w:t>
            </w:r>
          </w:p>
        </w:tc>
        <w:tc>
          <w:tcPr>
            <w:tcW w:w="5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tc>
      </w:tr>
    </w:tbl>
    <w:p>
      <w:pPr>
        <w:pStyle w:val="TextBody"/>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82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61"/>
        <w:gridCol w:w="92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2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92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2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92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tc>
      </w:tr>
    </w:tbl>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8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any class of the Shares are listed on a Designated Stock Exchange, any such committee shall be made up of such number of Independent Directors as required from time to time by the Designated Stock Exchange Rules or otherwise required by applicable law.</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class of the Shares are listed on a Designated Stock Exchange, the Board shall, if required by the Designated Stock Exchange Rules,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(if so established)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(if so established)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245"/>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0"/>
        <w:gridCol w:w="9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9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9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9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9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4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47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30 September in each year and begin on 1 October in each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or remove an Auditor of the Company who shall hold office on such terms as the Directors determine, provided that for so long as any class of the Shares are listed on a Designated Stock Exchange, such appointment or removal shall be made in accordance with the applicable Designated Stock Exchange Rules.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283"/>
        <w:jc w:val="left"/>
        <w:rPr/>
      </w:pPr>
      <w:r>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9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283"/>
        <w:jc w:val="left"/>
        <w:rPr/>
      </w:pPr>
      <w:r>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283"/>
        <w:jc w:val="left"/>
        <w:rPr/>
      </w:pPr>
      <w:r>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245"/>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283"/>
        <w:jc w:val="left"/>
        <w:rPr/>
      </w:pPr>
      <w:r>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2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45"/>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283"/>
        <w:jc w:val="left"/>
        <w:rPr/>
      </w:pPr>
      <w:r>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45"/>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230"/>
        <w:gridCol w:w="7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00"/>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6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320"/>
        <w:gridCol w:w="7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3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283"/>
        <w:jc w:val="left"/>
        <w:rPr/>
      </w:pPr>
      <w:r>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 or otherwise accept the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the Company’s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283"/>
        <w:jc w:val="left"/>
        <w:rPr/>
      </w:pPr>
      <w:r>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88"/>
        <w:gridCol w:w="60"/>
        <w:gridCol w:w="4657"/>
      </w:tblGrid>
      <w:tr>
        <w:trPr/>
        <w:tc>
          <w:tcPr>
            <w:tcW w:w="548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465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on which it is transmitted from the server of the Company or its agent</w:t>
            </w:r>
          </w:p>
        </w:tc>
      </w:tr>
      <w:tr>
        <w:trPr/>
        <w:tc>
          <w:tcPr>
            <w:tcW w:w="548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46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the notice or document is published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49"/>
        <w:gridCol w:w="91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1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91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230"/>
        <w:gridCol w:w="9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7"/>
        <w:gridCol w:w="97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7" w:type="dxa"/>
            <w:tcBorders/>
            <w:vAlign w:val="center"/>
          </w:tcPr>
          <w:p>
            <w:pPr>
              <w:pStyle w:val="TableContents"/>
              <w:bidi w:val="0"/>
              <w:spacing w:before="0" w:after="283"/>
              <w:jc w:val="left"/>
              <w:rPr>
                <w:caps w:val="false"/>
                <w:smallCaps w:val="false"/>
              </w:rPr>
            </w:pPr>
            <w:r>
              <w:rPr>
                <w:caps w:val="false"/>
                <w:smallCaps w:val="false"/>
              </w:rPr>
              <w:t> </w:t>
            </w:r>
          </w:p>
        </w:tc>
        <w:tc>
          <w:tcPr>
            <w:tcW w:w="9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45"/>
        <w:gridCol w:w="7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283"/>
        <w:jc w:val="left"/>
        <w:rPr/>
      </w:pPr>
      <w:r>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283"/>
        <w:jc w:val="left"/>
        <w:rPr/>
      </w:pPr>
      <w:r>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30"/>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0" w:name="ex5-1.htm"/>
      <w:bookmarkStart w:id="31" w:name="ksex5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123950" cy="457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2015"/>
        <w:gridCol w:w="60"/>
        <w:gridCol w:w="3065"/>
      </w:tblGrid>
      <w:tr>
        <w:trPr/>
        <w:tc>
          <w:tcPr>
            <w:tcW w:w="2015" w:type="dxa"/>
            <w:vMerge w:val="restart"/>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+852 3656 6054 </w:t>
            </w:r>
          </w:p>
        </w:tc>
      </w:tr>
      <w:tr>
        <w:trPr/>
        <w:tc>
          <w:tcPr>
            <w:tcW w:w="20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u w:val="single"/>
              </w:rPr>
              <w:t>nathan.powell@ogier.com</w:t>
            </w:r>
          </w:p>
        </w:tc>
      </w:tr>
      <w:tr>
        <w:trPr/>
        <w:tc>
          <w:tcPr>
            <w:tcW w:w="20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NMP/CLE/504131.00003</w:t>
            </w:r>
          </w:p>
        </w:tc>
      </w:tr>
      <w:tr>
        <w:trPr/>
        <w:tc>
          <w:tcPr>
            <w:tcW w:w="20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11 M</w:t>
            </w:r>
            <w:r>
              <w:rPr>
                <w:rFonts w:ascii="Times New Roman;Times;Serif" w:hAnsi="Times New Roman;Times;Serif"/>
                <w:b w:val="false"/>
                <w:i w:val="false"/>
                <w:caps w:val="false"/>
                <w:smallCaps w:val="false"/>
                <w:sz w:val="20"/>
              </w:rPr>
              <w:t xml:space="preserve">ay </w:t>
            </w:r>
            <w:r>
              <w:rPr>
                <w:rFonts w:ascii="Times New Roman;Times;Serif" w:hAnsi="Times New Roman;Times;Serif"/>
                <w:b w:val="false"/>
                <w:i w:val="false"/>
                <w:caps/>
                <w:sz w:val="20"/>
              </w:rPr>
              <w:t>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F-3, including all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to date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The Registration Statement relates to the offering, issuance and sale from time to time, in one or more offerings, of up to US$100,000,000 of the following securities of the Company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15"/>
        <w:gridCol w:w="762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A ordinary shares of a par value of US$0.008 each of the Company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to purchase the Class A Shares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issuable pursuant to the terms of a warrant agreement and a warrant certificate (together, the </w:t>
            </w:r>
            <w:r>
              <w:rPr>
                <w:rFonts w:ascii="Times New Roman;Times;Serif" w:hAnsi="Times New Roman;Times;Serif"/>
                <w:b/>
                <w:i w:val="false"/>
                <w:caps w:val="false"/>
                <w:smallCaps w:val="false"/>
                <w:sz w:val="20"/>
              </w:rPr>
              <w:t>Warrants Documents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rights to purchase the Class A Shares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xml:space="preserve">) issuable pursuant to the terms of a rights agent agreement and a right certificate (together, the </w:t>
            </w:r>
            <w:r>
              <w:rPr>
                <w:rFonts w:ascii="Times New Roman;Times;Serif" w:hAnsi="Times New Roman;Times;Serif"/>
                <w:b/>
                <w:i w:val="false"/>
                <w:caps w:val="false"/>
                <w:smallCaps w:val="false"/>
                <w:sz w:val="20"/>
              </w:rPr>
              <w:t>Rights Documents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composed of any combination of the securities described above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xml:space="preserve">) issuable pursuant to the terms of a unit agreement and a unit certificate (together, the </w:t>
            </w:r>
            <w:r>
              <w:rPr>
                <w:rFonts w:ascii="Times New Roman;Times;Serif" w:hAnsi="Times New Roman;Times;Serif"/>
                <w:b/>
                <w:i w:val="false"/>
                <w:caps w:val="false"/>
                <w:smallCaps w:val="false"/>
                <w:sz w:val="20"/>
              </w:rPr>
              <w:t>Units Documents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purchase contracts to purchase the Class A Shares or other Securities (the </w:t>
            </w:r>
            <w:r>
              <w:rPr>
                <w:rFonts w:ascii="Times New Roman;Times;Serif" w:hAnsi="Times New Roman;Times;Serif"/>
                <w:b/>
                <w:i w:val="false"/>
                <w:caps w:val="false"/>
                <w:smallCaps w:val="false"/>
                <w:sz w:val="20"/>
              </w:rPr>
              <w:t>Share Purchase Contracts</w:t>
            </w:r>
            <w:r>
              <w:rPr>
                <w:rFonts w:ascii="Times New Roman;Times;Serif" w:hAnsi="Times New Roman;Times;Serif"/>
                <w:b w:val="false"/>
                <w:i w:val="false"/>
                <w:caps w:val="false"/>
                <w:smallCaps w:val="false"/>
                <w:sz w:val="20"/>
              </w:rPr>
              <w:t>) pursuant to the terms of a share purchase contract; and</w:t>
            </w:r>
          </w:p>
        </w:tc>
      </w:tr>
    </w:tbl>
    <w:p>
      <w:pPr>
        <w:pStyle w:val="TextBody"/>
        <w:bidi w:val="0"/>
        <w:spacing w:before="0" w:after="0"/>
        <w:ind w:left="709"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units (</w:t>
            </w:r>
            <w:r>
              <w:rPr>
                <w:rFonts w:ascii="Times New Roman;Times;Serif" w:hAnsi="Times New Roman;Times;Serif"/>
                <w:b/>
                <w:i w:val="false"/>
                <w:caps w:val="false"/>
                <w:smallCaps w:val="false"/>
                <w:sz w:val="20"/>
              </w:rPr>
              <w:t>Share Purchase Units</w:t>
            </w:r>
            <w:r>
              <w:rPr>
                <w:rFonts w:ascii="Times New Roman;Times;Serif" w:hAnsi="Times New Roman;Times;Serif"/>
                <w:b w:val="false"/>
                <w:i w:val="false"/>
                <w:caps w:val="false"/>
                <w:smallCaps w:val="false"/>
                <w:sz w:val="20"/>
              </w:rPr>
              <w:t xml:space="preserve">) composed of a Share Purchase Contract and Warrants and other Securities or debt obligations of third parties pursuant to the terms of the Share Purchase Unit (the Share Purchase Units together with the Share Purchase Contracts and any unit agreements, and any unit certificates, collectively, the </w:t>
            </w:r>
            <w:r>
              <w:rPr>
                <w:rFonts w:ascii="Times New Roman;Times;Serif" w:hAnsi="Times New Roman;Times;Serif"/>
                <w:b/>
                <w:i w:val="false"/>
                <w:caps w:val="false"/>
                <w:smallCaps w:val="false"/>
                <w:sz w:val="20"/>
              </w:rPr>
              <w:t>Share Purchase Agreements</w:t>
            </w:r>
            <w:r>
              <w:rPr>
                <w:rFonts w:ascii="Times New Roman;Times;Serif" w:hAnsi="Times New Roman;Times;Serif"/>
                <w:b w:val="false"/>
                <w:i w:val="false"/>
                <w:caps w:val="false"/>
                <w:smallCaps w:val="false"/>
                <w:sz w:val="20"/>
              </w:rPr>
              <w:t>).</w:t>
            </w:r>
          </w:p>
        </w:tc>
      </w:tr>
    </w:tbl>
    <w:p>
      <w:pPr>
        <w:pStyle w:val="TextBody"/>
        <w:bidi w:val="0"/>
        <w:spacing w:before="0" w:after="0"/>
        <w:ind w:left="709" w:right="0" w:hanging="708"/>
        <w:jc w:val="both"/>
        <w:rPr>
          <w:caps w:val="false"/>
          <w:smallCaps w:val="false"/>
        </w:rPr>
      </w:pPr>
      <w:r>
        <w:rPr>
          <w:caps w:val="false"/>
          <w:smallCaps w:val="false"/>
        </w:rPr>
        <w:t> </w:t>
      </w:r>
    </w:p>
    <w:tbl>
      <w:tblPr>
        <w:tblW w:w="10100" w:type="dxa"/>
        <w:jc w:val="left"/>
        <w:tblInd w:w="0" w:type="dxa"/>
        <w:tblLayout w:type="fixed"/>
        <w:tblCellMar>
          <w:top w:w="0" w:type="dxa"/>
          <w:left w:w="0" w:type="dxa"/>
          <w:bottom w:w="0" w:type="dxa"/>
          <w:right w:w="0" w:type="dxa"/>
        </w:tblCellMar>
      </w:tblPr>
      <w:tblGrid>
        <w:gridCol w:w="3515"/>
        <w:gridCol w:w="60"/>
        <w:gridCol w:w="1535"/>
        <w:gridCol w:w="60"/>
        <w:gridCol w:w="1655"/>
        <w:gridCol w:w="60"/>
        <w:gridCol w:w="3215"/>
      </w:tblGrid>
      <w:tr>
        <w:trPr/>
        <w:tc>
          <w:tcPr>
            <w:tcW w:w="351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and Guernsey laws</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Davis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283"/>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709" w:right="0" w:hanging="708"/>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documents set forth in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09"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709" w:right="0" w:hanging="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3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original documents examined by us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documents examined by us (whether in facsimile, electronic or other form) conform to the originals and those originals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dates, stamps and markings (whether on original or copy documents) are genuine;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Good Standing Certificate, the Register and the Director’s Certificate (each as defined in Schedule 1) is accurate and complete as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CORIS Search (as defined in Schedule 1) which we have examined is accurate and that the information disclosed by the CORIS Search is true and complete and that such information has not since been altered;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the Registration Statement are true and 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Registration Statement, the Indenture, the Warrants Documents, the Rights Documents, the Units Documents and similar agreements or instruments in respect of the issuance of the Securities and no director has a financial interest in or other relationship to a party of the transactions contemplated by such documents which has not been properly disclosed in the Board Resolutions;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parties to the Warrants Documents, the Rights Documents, the Units Documents, the Share Purchase Agreements and similar agreements or instruments in respect of the issuance of the Securities (together, the </w:t>
            </w:r>
            <w:r>
              <w:rPr>
                <w:rFonts w:ascii="Times New Roman;Times;Serif" w:hAnsi="Times New Roman;Times;Serif"/>
                <w:b/>
                <w:i w:val="false"/>
                <w:caps w:val="false"/>
                <w:smallCaps w:val="false"/>
                <w:sz w:val="20"/>
              </w:rPr>
              <w:t>Securities Documents</w:t>
            </w:r>
            <w:r>
              <w:rPr>
                <w:rFonts w:ascii="Times New Roman;Times;Serif" w:hAnsi="Times New Roman;Times;Serif"/>
                <w:b w:val="false"/>
                <w:i w:val="false"/>
                <w:caps w:val="false"/>
                <w:smallCaps w:val="false"/>
                <w:sz w:val="20"/>
              </w:rPr>
              <w:t>) other than the Company is duly incorporated, formed or organised (as applicable), validly existing and in good standing under all relevant laws;</w:t>
            </w:r>
          </w:p>
        </w:tc>
      </w:tr>
    </w:tbl>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Securities Documents will be authorised and duly executed and unconditionally delivered by or on behalf of all parties to it in accordance with all applicable laws (other than, in the case of the Company,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Securities Documents will be legal, valid and binding and enforceable against all relevant parties in accordance with its terms under relevant law (other than, in the case of the Company,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or public policies of any jurisdiction other than the Cayman Islands will not adversely affect the capacity or authority of the Company;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or delivery of the Securities Documents nor the exercise by any party to the Securities Documents of its rights or the performance of its obligations under them contravene those laws or public policies;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agreements, documents or arrangements (other than the documents expressly referred to in this opinion as having been examined by us) that materially affect or modify the Registration Statement, the Securities Documents or the transactions contemplated by them or restrict the powers and authority of the Company in any way;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paid to or for the account of any party under the Registration Statement or the Securities Documents represent or will represent criminal property or terrorist property (as defined in the Proceeds of Crime Act (as revised) and the Terrorism Act (as revised), respectively);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of any Class A Shares pursuant to the Registration Statement and the Securities Documents, the issue of the Class A Shares upon the exercise of the Warrants and the issue of the Class A Shares upon the exercise of the Rights, whether as principal issue or on the conversion, exchange or exercise of any Class A Shares, Warrants or Rights, and the issue of the Class A Shares pursuant to any of the Share Purchase Agreements would not result in the Company exceeding its authorised share capital; and upon the issue of any Class A Shares, the Company will receive consideration for the full issue price thereof which shall be equal to at least the par value thereof and that such issuance will be duly registered, and will continue to be registered, in the Company’s register of members;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circumstances or matters of fact existing which may properly form the basis for an application for an order for rectification of the register of members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for the Class A Shares will conform to the specimen as set out thereof and upon issuance will have been duly countersigned by the transfer agent and duly registered by the registrar for the Class A Shares, or, if uncertificated, valid book-entry notations for the issuance of the Class A Shares in uncertificated form will have been duly made in the share register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has been or will be made by or on behalf of the Company to the public in the Cayman Islands to subscribe for any of the Securities;</w:t>
            </w:r>
          </w:p>
        </w:tc>
      </w:tr>
    </w:tbl>
    <w:p>
      <w:pPr>
        <w:pStyle w:val="TextBody"/>
        <w:bidi w:val="0"/>
        <w:spacing w:before="0" w:after="0"/>
        <w:ind w:left="1418" w:right="0" w:hanging="709"/>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20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issuance of any Class A Shares in accordance with its terms:</w:t>
            </w:r>
          </w:p>
        </w:tc>
      </w:tr>
    </w:tbl>
    <w:p>
      <w:pPr>
        <w:pStyle w:val="TextBody"/>
        <w:bidi w:val="0"/>
        <w:spacing w:before="0" w:after="0"/>
        <w:ind w:left="1418" w:right="0" w:hanging="709"/>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0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have been struck off or placed in liquidation; and</w:t>
            </w:r>
          </w:p>
        </w:tc>
      </w:tr>
    </w:tbl>
    <w:p>
      <w:pPr>
        <w:pStyle w:val="TextBody"/>
        <w:bidi w:val="0"/>
        <w:spacing w:before="0" w:after="0"/>
        <w:ind w:left="2126" w:right="0" w:hanging="708"/>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for each Class A Share to be issued will not be less than the par value of such share;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directors nor the shareholders of the Company have taken any steps to appoint a liquidator of the Company and no receiver or restructuring officer has been appointed over any of the Company’s property or assets;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provision of the law of any jurisdiction, other than the Cayman Islands, which would have any implication in relation to the opinions expressed herein.</w:t>
            </w:r>
          </w:p>
        </w:tc>
      </w:tr>
    </w:tbl>
    <w:p>
      <w:pPr>
        <w:pStyle w:val="TextBody"/>
        <w:bidi w:val="0"/>
        <w:spacing w:before="0" w:after="0"/>
        <w:ind w:left="1418" w:right="0" w:hanging="709"/>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2 and the limitations set forth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been duly incorporated as an exempted company with limited liability and is validly existing and in good standing with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US$1,640,000 divided into: (i) 204,750,000 class A ordinary shares of par value of US$0.008 each, and (ii) 20,000,000 class B ordinary shares of par value of US$0.0001 each.</w:t>
            </w:r>
          </w:p>
        </w:tc>
      </w:tr>
    </w:tbl>
    <w:p>
      <w:pPr>
        <w:pStyle w:val="TextBody"/>
        <w:bidi w:val="0"/>
        <w:spacing w:before="0" w:after="0"/>
        <w:ind w:left="1069" w:right="0" w:hanging="360"/>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the Class A Shares and the Securities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Class A Shares to be offered and issued by the Company as contemplated by the Registration Statement (including the issuance of the Class A Shares upon the exercise of the Warrants in accordance with the Warrants Documents and the issuance of the Class A Shares upon the exercise of the Rights in accordance with the Rights Documents and the issuance of the Class A Shares in accordance with the Share Purchase Agreements) having been duly authorised by the Company and, when issued by the Company upon: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either (A) the provisions of the memorandum and articles of association of the Company then in effect and the applicable definitive purchase, underwriting or similar agreement approved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have been satisfied and payment of the consideration specified therein (being not less than the par value of the Class A Shares) has been made, or (B) if such Class A Shares are issuable upon conversion, exchange, redemption, repurchase or exercise of any other security, the terms of such security, the memorandum and articles of association of the Company then in effect or the instrument governing such security providing for such conversion, exchange, redemption, repurchase or exercise for Class A Shares, as approved by the Board, have been satisfied and the consideration approved by the Board (being not less than the par value of the Class A Shares) received; and</w:t>
            </w:r>
          </w:p>
        </w:tc>
      </w:tr>
    </w:tbl>
    <w:p>
      <w:pPr>
        <w:pStyle w:val="TextBody"/>
        <w:bidi w:val="0"/>
        <w:spacing w:before="0" w:after="0"/>
        <w:ind w:left="2126" w:right="0" w:hanging="708"/>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entry has been made in the register of members of the Company reflecting such issuance of Class A Shares, in each case in accordance with the memorandum and articles of association of the Company then in effect,</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of the Warrants and the Warrants Documents having been duly authorised by the Company and, when the Warrants Documents having been duly executed, dated and delivered by the Company and the parties thereto in accordance with the Warrants Documents, the Registration Statement and any prospectus supplement relating thereto, and upon payment in full of the consideration therefor, the Warrants will constitute legal, valid and binding obligations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of the Rights and the Rights Documents having been duly authorised by the Company and, when the Rights Documents having been duly executed, dated and delivered by the Company and the parties thereto in accordance with the Rights Documents, the Registration Statement and any prospectus supplement relating thereto, and upon payment in full of the consideration therefor, the Rights will constitute legal, valid and binding obligations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of the Units and the Units Documents having been duly authorised by the Company and, when the Units Documents having been duly executed, dated and delivered by the Company and the parties thereto in accordance with the Units Documents, the Registration Statement and any prospectus supplement relating thereto, and upon payment in full of the consideration therefor, the Units will constitute legal, valid and binding obligations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of the Share Purchase Contracts and the Share Purchase Units and the Share Purchase Agreements having been duly authorised by the Company and, when the Units Agreements having been duly executed, dated and delivered by the Company and the parties thereto in accordance with the Share Purchase Agreements Documents, the Registration Statement and any prospectus supplement relating thereto, and upon payment in full of the consideration therefor, the Share Purchase Contracts and the Share Purchase Units will constitute legal, valid and binding obligations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40"/>
        <w:gridCol w:w="17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not covered</w:t>
            </w:r>
          </w:p>
        </w:tc>
      </w:tr>
    </w:tbl>
    <w:p>
      <w:pPr>
        <w:pStyle w:val="TextBody"/>
        <w:bidi w:val="0"/>
        <w:spacing w:before="0" w:after="0"/>
        <w:ind w:left="709" w:right="0" w:hanging="709"/>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and the Securities Documents to statutes, rules, regulations, codes or judicial authority of any jurisdiction other than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this opinion expressly provides otherwise, as to the commercial terms of, or the validity, enforceability or effect of the Registration Statement and the Securities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Registration Statement and the Securities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whether the acceptance, execution or performance of the Company’s obligations under the documents reviewed by us will result in the breach of or infringe any other agreement, deed or document (other than the Memorandum and Articles) entered into by or binding on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w:t>
            </w:r>
          </w:p>
        </w:tc>
      </w:tr>
    </w:tbl>
    <w:p>
      <w:pPr>
        <w:pStyle w:val="TextBody"/>
        <w:bidi w:val="0"/>
        <w:spacing w:before="0" w:after="0"/>
        <w:ind w:left="709" w:right="0" w:hanging="709"/>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3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confined to, and given on the basis of, the laws and practice in the Cayman Islands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40"/>
        <w:gridCol w:w="24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rely on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We also consent to the reference to this firm in the Registration Statement under the heading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giving such consent, we do not thereby admit that we are in the category of persons whose consent is required under Section 7 of the Securities Act or the rules and regulations of the Commission promulgated thereunder.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issue of the Class A Shares by the Company while the Registration Statement is effective. With the exception of your professional advisers (acting only in that capacity), it may not be relied upon by any person, other than persons entitled to rely upon it pursuant to the provisions of the Act, without our prior written consent.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Oiger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Documents</w:t>
      </w:r>
    </w:p>
    <w:p>
      <w:pPr>
        <w:pStyle w:val="TextBody"/>
        <w:bidi w:val="0"/>
        <w:spacing w:before="0" w:after="0"/>
        <w:ind w:left="0" w:right="0" w:hanging="0"/>
        <w:jc w:val="center"/>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Company dated 21 October 2022 issued by the Registrar.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fifth amended and restated memorandum and articles of association of the Company adopted by special resolution passed on 9 December 2025 (together, the </w:t>
            </w:r>
            <w:r>
              <w:rPr>
                <w:rFonts w:ascii="Times New Roman;Times;Serif" w:hAnsi="Times New Roman;Times;Serif"/>
                <w:b/>
                <w:i w:val="false"/>
                <w:caps w:val="false"/>
                <w:smallCaps w:val="false"/>
                <w:sz w:val="20"/>
              </w:rPr>
              <w:t>Memorandum and the Articles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good standing dated 9 January 2026 (the </w:t>
            </w:r>
            <w:r>
              <w:rPr>
                <w:rFonts w:ascii="Times New Roman;Times;Serif" w:hAnsi="Times New Roman;Times;Serif"/>
                <w:b/>
                <w:i w:val="false"/>
                <w:caps w:val="false"/>
                <w:smallCaps w:val="false"/>
                <w:sz w:val="20"/>
              </w:rPr>
              <w:t>Good Standing Certificate</w:t>
            </w:r>
            <w:r>
              <w:rPr>
                <w:rFonts w:ascii="Times New Roman;Times;Serif" w:hAnsi="Times New Roman;Times;Serif"/>
                <w:b w:val="false"/>
                <w:i w:val="false"/>
                <w:caps w:val="false"/>
                <w:smallCaps w:val="false"/>
                <w:sz w:val="20"/>
              </w:rPr>
              <w:t>) issued by the Registrar in respect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register of directors and officers of the Company dated 23 December 2024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from a director of the Company dated the same date of this opinion as to certain matters of facts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written resolutions of the board of directors of the Company dated 13 January 2026 approving, among other things, the Company’s filing of the Registration Statement and the issuance of the Securities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40"/>
        <w:gridCol w:w="230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09" w:right="0" w:hanging="644"/>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8</w:t>
      </w:r>
    </w:p>
    <w:p>
      <w:pPr>
        <w:pStyle w:val="TextBody"/>
        <w:bidi w:val="0"/>
        <w:spacing w:before="0" w:after="0"/>
        <w:ind w:left="709" w:right="0" w:hanging="644"/>
        <w:jc w:val="center"/>
        <w:rPr>
          <w:caps w:val="false"/>
          <w:smallCaps w:val="false"/>
        </w:rPr>
      </w:pPr>
      <w:r>
        <w:rPr>
          <w:caps w:val="false"/>
          <w:smallCaps w:val="false"/>
        </w:rPr>
        <w:t> </w:t>
      </w:r>
    </w:p>
    <w:p>
      <w:pPr>
        <w:pStyle w:val="TextBody"/>
        <w:bidi w:val="0"/>
        <w:spacing w:before="0" w:after="0"/>
        <w:ind w:left="709" w:right="0" w:hanging="6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709" w:right="0" w:hanging="644"/>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709" w:right="0" w:hanging="644"/>
        <w:jc w:val="center"/>
        <w:rPr>
          <w:caps w:val="false"/>
          <w:smallCaps w:val="false"/>
        </w:rPr>
      </w:pPr>
      <w:r>
        <w:rPr>
          <w:caps w:val="false"/>
          <w:smallCaps w:val="false"/>
        </w:rPr>
        <w:t> </w:t>
      </w:r>
    </w:p>
    <w:p>
      <w:pPr>
        <w:pStyle w:val="TextBody"/>
        <w:bidi w:val="0"/>
        <w:spacing w:before="0" w:after="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(Revised)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good standing</w:t>
            </w:r>
            <w:r>
              <w:rPr>
                <w:rFonts w:ascii="Times New Roman;Times;Serif" w:hAnsi="Times New Roman;Times;Serif"/>
                <w:b w:val="false"/>
                <w:i w:val="false"/>
                <w:caps w:val="false"/>
                <w:smallCaps w:val="false"/>
                <w:sz w:val="20"/>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Companies Act, the register of members of a Cayman Islands company is by statute regarded as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Sale Shares, that a shareholder shall not, solely by virtue of its status as a shareholder, be liable for additional assessments or calls on the Sale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ex23-1.htm"/>
      <w:bookmarkStart w:id="33" w:name="ksex23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4660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2743200" cy="4660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January 28, 2026 relating to the financial statements appearing in the Annual Report on Form 20-F of Youxin Technology Ltd for the year ended September 30,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4" w:name="ex23-4.htm"/>
      <w:bookmarkStart w:id="35" w:name="ksex234"/>
      <w:bookmarkEnd w:id="34"/>
      <w:bookmarkEnd w:id="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11061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5486400" cy="110617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of our report, dated April 21, 2026, in this Registration Statement of Youxin Technology Ltd on Form F-3 filed with the U.S. Securities and Exchange Commission, relating to the consolidated balance sheets of Celnet Technology Co., Ltd as of September 30, 2025 and 2024, and the related consolidated statements of operations and comprehensive income (loss), changes in stockholders’ deficit, and cash flows for each of the two years in the period ended September 30, 2025, and the related notes included in the Form 6-K of Youxin Technology Ltd, filed on April 21, 2026. We also consent to the reference to us under the caption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GGF CPA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NO: 2729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 w:name="ex99-1.htm"/>
      <w:bookmarkStart w:id="37" w:name="ksex991"/>
      <w:bookmarkEnd w:id="36"/>
      <w:bookmarkEnd w:id="3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drawing>
          <wp:inline distT="0" distB="0" distL="0" distR="0">
            <wp:extent cx="2066925"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0"/>
                    <a:stretch>
                      <a:fillRect/>
                    </a:stretch>
                  </pic:blipFill>
                  <pic:spPr bwMode="auto">
                    <a:xfrm>
                      <a:off x="0" y="0"/>
                      <a:ext cx="2066925" cy="428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1005, 1006, 1007, No. 122 Huangpu Avenue West, Tianhe District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Guangdong Province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Youxin Technology Ltd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People’s Republic of China legal counsel to the Company in connection with a registration statement on Form F-3, including all amendments or supplements thereto (the “Registration Statement”) filed by the Company with the United States Securities and Exchange Commission. We hereby consent to the reference to our firm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U.S. Securities Act of 1933 or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28" w:type="dxa"/>
          <w:right w:w="0" w:type="dxa"/>
        </w:tblCellMar>
      </w:tblPr>
      <w:tblGrid>
        <w:gridCol w:w="2120"/>
        <w:gridCol w:w="75"/>
      </w:tblGrid>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Jingtian &amp; Gongcheng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Jingtian &amp; Gongcheng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ex107.htm"/>
      <w:bookmarkStart w:id="39" w:name="ksex107"/>
      <w:bookmarkStart w:id="40" w:name="ex107.htm"/>
      <w:bookmarkStart w:id="41" w:name="ksex107"/>
      <w:bookmarkEnd w:id="40"/>
      <w:bookmarkEnd w:id="41"/>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Youxin Technology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69" w:type="dxa"/>
        <w:jc w:val="left"/>
        <w:tblInd w:w="0" w:type="dxa"/>
        <w:tblLayout w:type="fixed"/>
        <w:tblCellMar>
          <w:top w:w="28" w:type="dxa"/>
          <w:left w:w="28" w:type="dxa"/>
          <w:bottom w:w="28" w:type="dxa"/>
          <w:right w:w="28" w:type="dxa"/>
        </w:tblCellMar>
      </w:tblPr>
      <w:tblGrid>
        <w:gridCol w:w="1126"/>
        <w:gridCol w:w="226"/>
        <w:gridCol w:w="1246"/>
        <w:gridCol w:w="100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6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06" w:type="dxa"/>
            <w:tcBorders/>
            <w:shd w:fill="E7E7E2" w:val="clear"/>
            <w:vAlign w:val="center"/>
          </w:tcPr>
          <w:p>
            <w:pPr>
              <w:pStyle w:val="TableContents"/>
              <w:bidi w:val="0"/>
              <w:spacing w:before="0" w:after="283"/>
              <w:jc w:val="left"/>
              <w:rPr/>
            </w:pPr>
            <w:r>
              <w:rPr/>
              <w:t xml:space="preserve">Class A ordinary shares, US$0.008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06" w:type="dxa"/>
            <w:tcBorders/>
            <w:shd w:fill="E7E7E2" w:val="clear"/>
            <w:vAlign w:val="center"/>
          </w:tcPr>
          <w:p>
            <w:pPr>
              <w:pStyle w:val="TableContents"/>
              <w:bidi w:val="0"/>
              <w:spacing w:before="0" w:after="283"/>
              <w:jc w:val="left"/>
              <w:rPr/>
            </w:pPr>
            <w:r>
              <w:rPr/>
              <w:t xml:space="preserve">Share Purchase Contracts and Share Purchase Units(5)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0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06"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0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6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2" w:name="MaxAggtOfferingPrice"/>
            <w:bookmarkEnd w:id="42"/>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TotalOffset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NetFeeAmt"/>
            <w:bookmarkEnd w:id="46"/>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There are being registered hereunder such indeterminate number of (i) Class A Ordinary Shares, (ii) share purchase contracts and share purchase units, (iii) warrants, (iv) rights and (v) units, as shall have an aggregate initial offering price not to exceed $100,000,000 or such lesser aggregate amount permitted under General Instruction I.B.5 to Form F-3 under the Securities Act. Such indeterminate amounts may from time to time be issued at indeterminate prices, in U.S. Dollars. Any securities registered hereunder may be sold separately or as units with other securities registered hereunder. This registration statement also includes such presently indeterminate number of securities as may be issuable from time to time upon conversion or upon exercise of, or in exchange for, any such convertible or exchangeable securities registered hereunder or pursuant to the anti-dilution provisions of any such securities. (2) Pursuant to Rule 416 under the Securities Act of 1933, the securities offered hereby shall be deemed to cover additional securities to be offered to prevent dilution resulting from share splits, share dividends or similar transactions. (3) The proposed maximum per unit and aggregate offering prices per security will be determined, from time to time, by the registrant in connection with the issuance by the registrant of the securities registered hereunder. (4) The amount to be registered, proposed maximum aggregate offering price per unit and proposed maximum aggregate offering price are not specified as to each class of security pursuant to General Instruction II.C of Form F-3 under the Securities Act. The proposed maximum aggregate offering price is estimated solely for the purpose of calculating the registration fee pursuant to Rule 457(o) under the Securities Act of 1933. (5) Share purchase contracts to purchase Class A Ordinary Shares or other securities registered hereunder. Share purchase contracts may be issued separately or as share purchase units. Share purchase units may consist of a share purchase contract, warrants, other securities registered hereunder or debt obligations of third parties, including U.S. treasury securities, securing the holders' obligations to purchase the securities under the share purchase contracts. (6) Warrants may entitle the holder to purchase our Class A Ordinary Shares or any combination thereof. Warrants may be issued independently or together with Class A Ordinary Shares, and the warrants may be attached to or separate from such securities. (7) Rights evidencing the right to purchase Class A Ordinary Shares. (8) Each unit may consist of one or more of the other securities described in this prospectus in any combination. (9) Represents the total of the fee offsets claimed pursuant to Rule 457(p) under the Securities Act for the registration fees previously paid with respect to unsold securities, as set forth in Table 2.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64946/000149315226004040/form20-f.htm" TargetMode="External"/><Relationship Id="rId5" Type="http://schemas.openxmlformats.org/officeDocument/2006/relationships/hyperlink" Target="https://www.sec.gov/Archives/edgar/data/1964946/000149315226004243/form6-k.htm" TargetMode="External"/><Relationship Id="rId6" Type="http://schemas.openxmlformats.org/officeDocument/2006/relationships/hyperlink" Target="https://www.sec.gov/Archives/edgar/data/1964946/000149315226005586/form6-k.htm" TargetMode="External"/><Relationship Id="rId7" Type="http://schemas.openxmlformats.org/officeDocument/2006/relationships/hyperlink" Target="https://www.sec.gov/Archives/edgar/data/1964946/000149315226010419/form6-k.htm" TargetMode="External"/><Relationship Id="rId8" Type="http://schemas.openxmlformats.org/officeDocument/2006/relationships/hyperlink" Target="https://www.sec.gov/Archives/edgar/data/1964946/000149315226011685/form6-k.htm" TargetMode="External"/><Relationship Id="rId9" Type="http://schemas.openxmlformats.org/officeDocument/2006/relationships/hyperlink" Target="https://www.sec.gov/Archives/edgar/data/1964946/000149315226018175/form6-k.htm" TargetMode="External"/><Relationship Id="rId10" Type="http://schemas.openxmlformats.org/officeDocument/2006/relationships/hyperlink" Target="https://www.sec.gov/Archives/edgar/data/1964946/000149315226019058/form6-k.htm" TargetMode="External"/><Relationship Id="rId11" Type="http://schemas.openxmlformats.org/officeDocument/2006/relationships/hyperlink" Target="https://www.sec.gov/Archives/edgar/data/1964946/000149315224050008/form8a-12b.htm" TargetMode="External"/><Relationship Id="rId12" Type="http://schemas.openxmlformats.org/officeDocument/2006/relationships/image" Target="media/image1.jpeg"/><Relationship Id="rId13" Type="http://schemas.openxmlformats.org/officeDocument/2006/relationships/hyperlink" Target="https://www.sec.gov/Archives/edgar/data/1964946/000149315223032000/ex3-1.htm" TargetMode="External"/><Relationship Id="rId14" Type="http://schemas.openxmlformats.org/officeDocument/2006/relationships/hyperlink" Target="https://www.sec.gov/Archives/edgar/data/1964946/000149315223045378/ex4-1.htm" TargetMode="External"/><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190</Pages>
  <Words>90169</Words>
  <Characters>472727</Characters>
  <CharactersWithSpaces>563159</CharactersWithSpaces>
  <Paragraphs>6878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